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8232E5">
        <w:rPr>
          <w:rFonts w:ascii="Palatino Linotype" w:hAnsi="Palatino Linotype" w:cs="Arial"/>
          <w:b/>
          <w:sz w:val="24"/>
          <w:szCs w:val="24"/>
        </w:rPr>
        <w:t>3200</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3C7244">
      <w:pPr>
        <w:spacing w:after="0" w:line="276"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7879C6">
      <w:pPr>
        <w:spacing w:after="0" w:line="360" w:lineRule="auto"/>
        <w:jc w:val="both"/>
        <w:rPr>
          <w:rFonts w:ascii="Palatino Linotype" w:hAnsi="Palatino Linotype" w:cs="Arial"/>
          <w:sz w:val="24"/>
          <w:szCs w:val="24"/>
        </w:rPr>
      </w:pPr>
    </w:p>
    <w:p w:rsidR="003C7244"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Pr>
          <w:rFonts w:ascii="Palatino Linotype" w:hAnsi="Palatino Linotype" w:cs="Arial"/>
          <w:sz w:val="24"/>
          <w:szCs w:val="24"/>
        </w:rPr>
        <w:t xml:space="preserve">; además </w:t>
      </w:r>
      <w:r w:rsidRPr="00072966">
        <w:rPr>
          <w:rFonts w:ascii="Palatino Linotype" w:hAnsi="Palatino Linotype" w:cs="Arial"/>
          <w:sz w:val="24"/>
          <w:szCs w:val="24"/>
        </w:rPr>
        <w:t>tienen el deber que tienen dentro del margen de sus atribuciones, de prevenir violaciones a los derechos fundamentales.</w:t>
      </w:r>
    </w:p>
    <w:p w:rsidR="003C7244" w:rsidRDefault="003C7244" w:rsidP="003C7244">
      <w:pPr>
        <w:spacing w:after="0" w:line="276" w:lineRule="auto"/>
        <w:jc w:val="both"/>
        <w:rPr>
          <w:rFonts w:ascii="Palatino Linotype" w:hAnsi="Palatino Linotype" w:cs="Arial"/>
          <w:sz w:val="24"/>
          <w:szCs w:val="24"/>
        </w:rPr>
      </w:pPr>
    </w:p>
    <w:p w:rsidR="002C0734" w:rsidRDefault="002C073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8232E5" w:rsidRDefault="008232E5" w:rsidP="003C7244">
      <w:pPr>
        <w:spacing w:after="0" w:line="276" w:lineRule="auto"/>
        <w:jc w:val="both"/>
        <w:rPr>
          <w:rFonts w:ascii="Palatino Linotype" w:hAnsi="Palatino Linotype" w:cs="Arial"/>
          <w:sz w:val="24"/>
          <w:szCs w:val="24"/>
        </w:rPr>
      </w:pPr>
    </w:p>
    <w:p w:rsidR="008232E5" w:rsidRDefault="008232E5" w:rsidP="003C7244">
      <w:pPr>
        <w:spacing w:after="0" w:line="276" w:lineRule="auto"/>
        <w:jc w:val="both"/>
        <w:rPr>
          <w:rFonts w:ascii="Palatino Linotype" w:hAnsi="Palatino Linotype" w:cs="Arial"/>
          <w:sz w:val="24"/>
          <w:szCs w:val="24"/>
        </w:rPr>
      </w:pPr>
    </w:p>
    <w:p w:rsidR="008232E5" w:rsidRDefault="008232E5" w:rsidP="003C7244">
      <w:pPr>
        <w:spacing w:after="0" w:line="276" w:lineRule="auto"/>
        <w:jc w:val="both"/>
        <w:rPr>
          <w:rFonts w:ascii="Palatino Linotype" w:hAnsi="Palatino Linotype" w:cs="Arial"/>
          <w:sz w:val="24"/>
          <w:szCs w:val="24"/>
        </w:rPr>
      </w:pPr>
    </w:p>
    <w:p w:rsidR="008232E5" w:rsidRDefault="008232E5" w:rsidP="003C7244">
      <w:pPr>
        <w:spacing w:after="0" w:line="276" w:lineRule="auto"/>
        <w:jc w:val="both"/>
        <w:rPr>
          <w:rFonts w:ascii="Palatino Linotype" w:hAnsi="Palatino Linotype" w:cs="Arial"/>
          <w:sz w:val="24"/>
          <w:szCs w:val="24"/>
        </w:rPr>
      </w:pPr>
    </w:p>
    <w:p w:rsidR="008232E5" w:rsidRDefault="008232E5" w:rsidP="003C7244">
      <w:pPr>
        <w:spacing w:after="0" w:line="276" w:lineRule="auto"/>
        <w:jc w:val="both"/>
        <w:rPr>
          <w:rFonts w:ascii="Palatino Linotype" w:hAnsi="Palatino Linotype" w:cs="Arial"/>
          <w:sz w:val="24"/>
          <w:szCs w:val="24"/>
        </w:rPr>
      </w:pPr>
    </w:p>
    <w:p w:rsidR="00C435AF" w:rsidRDefault="00C435AF" w:rsidP="003C7244">
      <w:pPr>
        <w:spacing w:after="0" w:line="276" w:lineRule="auto"/>
        <w:jc w:val="both"/>
        <w:rPr>
          <w:rFonts w:ascii="Palatino Linotype" w:hAnsi="Palatino Linotype" w:cs="Arial"/>
          <w:sz w:val="24"/>
          <w:szCs w:val="24"/>
        </w:rPr>
      </w:pPr>
    </w:p>
    <w:p w:rsidR="00C435AF" w:rsidRDefault="00C435AF" w:rsidP="003C7244">
      <w:pPr>
        <w:spacing w:after="0" w:line="276" w:lineRule="auto"/>
        <w:jc w:val="both"/>
        <w:rPr>
          <w:rFonts w:ascii="Palatino Linotype" w:hAnsi="Palatino Linotype" w:cs="Arial"/>
          <w:sz w:val="24"/>
          <w:szCs w:val="24"/>
        </w:rPr>
      </w:pPr>
    </w:p>
    <w:p w:rsidR="00C435AF" w:rsidRDefault="00C435AF" w:rsidP="003C7244">
      <w:pPr>
        <w:spacing w:after="0" w:line="276" w:lineRule="auto"/>
        <w:jc w:val="both"/>
        <w:rPr>
          <w:rFonts w:ascii="Palatino Linotype" w:hAnsi="Palatino Linotype" w:cs="Arial"/>
          <w:sz w:val="24"/>
          <w:szCs w:val="24"/>
        </w:rPr>
      </w:pPr>
    </w:p>
    <w:p w:rsidR="00C435AF" w:rsidRDefault="00C435AF" w:rsidP="003C7244">
      <w:pPr>
        <w:spacing w:after="0" w:line="276" w:lineRule="auto"/>
        <w:jc w:val="both"/>
        <w:rPr>
          <w:rFonts w:ascii="Palatino Linotype" w:hAnsi="Palatino Linotype" w:cs="Arial"/>
          <w:sz w:val="24"/>
          <w:szCs w:val="24"/>
        </w:rPr>
      </w:pPr>
    </w:p>
    <w:p w:rsidR="00C435AF" w:rsidRDefault="00C435AF"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8D0EE8"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7372980" w:history="1">
            <w:r w:rsidR="008D0EE8" w:rsidRPr="00B469B3">
              <w:rPr>
                <w:rStyle w:val="Hipervnculo"/>
                <w:rFonts w:ascii="Palatino Linotype" w:hAnsi="Palatino Linotype"/>
                <w:b/>
                <w:noProof/>
              </w:rPr>
              <w:t>I.</w:t>
            </w:r>
            <w:r w:rsidR="008D0EE8">
              <w:rPr>
                <w:rFonts w:eastAsiaTheme="minorEastAsia"/>
                <w:noProof/>
                <w:lang w:eastAsia="es-MX"/>
              </w:rPr>
              <w:tab/>
            </w:r>
            <w:r w:rsidR="008D0EE8" w:rsidRPr="00B469B3">
              <w:rPr>
                <w:rStyle w:val="Hipervnculo"/>
                <w:rFonts w:ascii="Palatino Linotype" w:hAnsi="Palatino Linotype"/>
                <w:b/>
                <w:noProof/>
              </w:rPr>
              <w:t>Consideraciones Generales.</w:t>
            </w:r>
            <w:r w:rsidR="008D0EE8">
              <w:rPr>
                <w:noProof/>
                <w:webHidden/>
              </w:rPr>
              <w:tab/>
            </w:r>
            <w:r w:rsidR="008D0EE8">
              <w:rPr>
                <w:noProof/>
                <w:webHidden/>
              </w:rPr>
              <w:fldChar w:fldCharType="begin"/>
            </w:r>
            <w:r w:rsidR="008D0EE8">
              <w:rPr>
                <w:noProof/>
                <w:webHidden/>
              </w:rPr>
              <w:instrText xml:space="preserve"> PAGEREF _Toc527372980 \h </w:instrText>
            </w:r>
            <w:r w:rsidR="008D0EE8">
              <w:rPr>
                <w:noProof/>
                <w:webHidden/>
              </w:rPr>
            </w:r>
            <w:r w:rsidR="008D0EE8">
              <w:rPr>
                <w:noProof/>
                <w:webHidden/>
              </w:rPr>
              <w:fldChar w:fldCharType="separate"/>
            </w:r>
            <w:r w:rsidR="00177AA7">
              <w:rPr>
                <w:noProof/>
                <w:webHidden/>
              </w:rPr>
              <w:t>3</w:t>
            </w:r>
            <w:r w:rsidR="008D0EE8">
              <w:rPr>
                <w:noProof/>
                <w:webHidden/>
              </w:rPr>
              <w:fldChar w:fldCharType="end"/>
            </w:r>
          </w:hyperlink>
        </w:p>
        <w:p w:rsidR="008D0EE8" w:rsidRDefault="008150A8">
          <w:pPr>
            <w:pStyle w:val="TDC1"/>
            <w:rPr>
              <w:rFonts w:eastAsiaTheme="minorEastAsia"/>
              <w:noProof/>
              <w:lang w:eastAsia="es-MX"/>
            </w:rPr>
          </w:pPr>
          <w:hyperlink w:anchor="_Toc527372981" w:history="1">
            <w:r w:rsidR="008D0EE8" w:rsidRPr="00B469B3">
              <w:rPr>
                <w:rStyle w:val="Hipervnculo"/>
                <w:rFonts w:ascii="Palatino Linotype" w:hAnsi="Palatino Linotype"/>
                <w:b/>
                <w:noProof/>
              </w:rPr>
              <w:t>II.</w:t>
            </w:r>
            <w:r w:rsidR="008D0EE8">
              <w:rPr>
                <w:rFonts w:eastAsiaTheme="minorEastAsia"/>
                <w:noProof/>
                <w:lang w:eastAsia="es-MX"/>
              </w:rPr>
              <w:tab/>
            </w:r>
            <w:r w:rsidR="008D0EE8" w:rsidRPr="00B469B3">
              <w:rPr>
                <w:rStyle w:val="Hipervnculo"/>
                <w:rFonts w:ascii="Palatino Linotype" w:hAnsi="Palatino Linotype"/>
                <w:b/>
                <w:noProof/>
              </w:rPr>
              <w:t>De los requerimientos planteados en el recurso de revisión.</w:t>
            </w:r>
            <w:r w:rsidR="008D0EE8">
              <w:rPr>
                <w:noProof/>
                <w:webHidden/>
              </w:rPr>
              <w:tab/>
            </w:r>
            <w:r w:rsidR="008D0EE8">
              <w:rPr>
                <w:noProof/>
                <w:webHidden/>
              </w:rPr>
              <w:fldChar w:fldCharType="begin"/>
            </w:r>
            <w:r w:rsidR="008D0EE8">
              <w:rPr>
                <w:noProof/>
                <w:webHidden/>
              </w:rPr>
              <w:instrText xml:space="preserve"> PAGEREF _Toc527372981 \h </w:instrText>
            </w:r>
            <w:r w:rsidR="008D0EE8">
              <w:rPr>
                <w:noProof/>
                <w:webHidden/>
              </w:rPr>
            </w:r>
            <w:r w:rsidR="008D0EE8">
              <w:rPr>
                <w:noProof/>
                <w:webHidden/>
              </w:rPr>
              <w:fldChar w:fldCharType="separate"/>
            </w:r>
            <w:r w:rsidR="00177AA7">
              <w:rPr>
                <w:noProof/>
                <w:webHidden/>
              </w:rPr>
              <w:t>4</w:t>
            </w:r>
            <w:r w:rsidR="008D0EE8">
              <w:rPr>
                <w:noProof/>
                <w:webHidden/>
              </w:rPr>
              <w:fldChar w:fldCharType="end"/>
            </w:r>
          </w:hyperlink>
        </w:p>
        <w:p w:rsidR="008D0EE8" w:rsidRDefault="008150A8">
          <w:pPr>
            <w:pStyle w:val="TDC1"/>
            <w:rPr>
              <w:rFonts w:eastAsiaTheme="minorEastAsia"/>
              <w:noProof/>
              <w:lang w:eastAsia="es-MX"/>
            </w:rPr>
          </w:pPr>
          <w:hyperlink w:anchor="_Toc527372982" w:history="1">
            <w:r w:rsidR="008D0EE8" w:rsidRPr="00B469B3">
              <w:rPr>
                <w:rStyle w:val="Hipervnculo"/>
                <w:rFonts w:ascii="Palatino Linotype" w:hAnsi="Palatino Linotype"/>
                <w:b/>
                <w:noProof/>
              </w:rPr>
              <w:t>III.</w:t>
            </w:r>
            <w:r w:rsidR="008D0EE8">
              <w:rPr>
                <w:rFonts w:eastAsiaTheme="minorEastAsia"/>
                <w:noProof/>
                <w:lang w:eastAsia="es-MX"/>
              </w:rPr>
              <w:tab/>
            </w:r>
            <w:r w:rsidR="008D0EE8" w:rsidRPr="00B469B3">
              <w:rPr>
                <w:rStyle w:val="Hipervnculo"/>
                <w:rFonts w:ascii="Palatino Linotype" w:hAnsi="Palatino Linotype"/>
                <w:b/>
                <w:noProof/>
              </w:rPr>
              <w:t>De la solicitud.</w:t>
            </w:r>
            <w:r w:rsidR="008D0EE8">
              <w:rPr>
                <w:noProof/>
                <w:webHidden/>
              </w:rPr>
              <w:tab/>
            </w:r>
            <w:r w:rsidR="008D0EE8">
              <w:rPr>
                <w:noProof/>
                <w:webHidden/>
              </w:rPr>
              <w:fldChar w:fldCharType="begin"/>
            </w:r>
            <w:r w:rsidR="008D0EE8">
              <w:rPr>
                <w:noProof/>
                <w:webHidden/>
              </w:rPr>
              <w:instrText xml:space="preserve"> PAGEREF _Toc527372982 \h </w:instrText>
            </w:r>
            <w:r w:rsidR="008D0EE8">
              <w:rPr>
                <w:noProof/>
                <w:webHidden/>
              </w:rPr>
            </w:r>
            <w:r w:rsidR="008D0EE8">
              <w:rPr>
                <w:noProof/>
                <w:webHidden/>
              </w:rPr>
              <w:fldChar w:fldCharType="separate"/>
            </w:r>
            <w:r w:rsidR="00177AA7">
              <w:rPr>
                <w:noProof/>
                <w:webHidden/>
              </w:rPr>
              <w:t>7</w:t>
            </w:r>
            <w:r w:rsidR="008D0EE8">
              <w:rPr>
                <w:noProof/>
                <w:webHidden/>
              </w:rPr>
              <w:fldChar w:fldCharType="end"/>
            </w:r>
          </w:hyperlink>
        </w:p>
        <w:p w:rsidR="008D0EE8" w:rsidRDefault="008150A8">
          <w:pPr>
            <w:pStyle w:val="TDC1"/>
            <w:rPr>
              <w:rFonts w:eastAsiaTheme="minorEastAsia"/>
              <w:noProof/>
              <w:lang w:eastAsia="es-MX"/>
            </w:rPr>
          </w:pPr>
          <w:hyperlink w:anchor="_Toc527372983" w:history="1">
            <w:r w:rsidR="008D0EE8" w:rsidRPr="00B469B3">
              <w:rPr>
                <w:rStyle w:val="Hipervnculo"/>
                <w:rFonts w:ascii="Palatino Linotype" w:hAnsi="Palatino Linotype"/>
                <w:b/>
                <w:noProof/>
              </w:rPr>
              <w:t>IV.</w:t>
            </w:r>
            <w:r w:rsidR="008D0EE8">
              <w:rPr>
                <w:rFonts w:eastAsiaTheme="minorEastAsia"/>
                <w:noProof/>
                <w:lang w:eastAsia="es-MX"/>
              </w:rPr>
              <w:tab/>
            </w:r>
            <w:r w:rsidR="008D0EE8" w:rsidRPr="00B469B3">
              <w:rPr>
                <w:rStyle w:val="Hipervnculo"/>
                <w:rFonts w:ascii="Palatino Linotype" w:hAnsi="Palatino Linotype"/>
                <w:b/>
                <w:noProof/>
              </w:rPr>
              <w:t>De la suplencia de la queja.</w:t>
            </w:r>
            <w:r w:rsidR="008D0EE8">
              <w:rPr>
                <w:noProof/>
                <w:webHidden/>
              </w:rPr>
              <w:tab/>
            </w:r>
            <w:r w:rsidR="008D0EE8">
              <w:rPr>
                <w:noProof/>
                <w:webHidden/>
              </w:rPr>
              <w:fldChar w:fldCharType="begin"/>
            </w:r>
            <w:r w:rsidR="008D0EE8">
              <w:rPr>
                <w:noProof/>
                <w:webHidden/>
              </w:rPr>
              <w:instrText xml:space="preserve"> PAGEREF _Toc527372983 \h </w:instrText>
            </w:r>
            <w:r w:rsidR="008D0EE8">
              <w:rPr>
                <w:noProof/>
                <w:webHidden/>
              </w:rPr>
            </w:r>
            <w:r w:rsidR="008D0EE8">
              <w:rPr>
                <w:noProof/>
                <w:webHidden/>
              </w:rPr>
              <w:fldChar w:fldCharType="separate"/>
            </w:r>
            <w:r w:rsidR="00177AA7">
              <w:rPr>
                <w:noProof/>
                <w:webHidden/>
              </w:rPr>
              <w:t>8</w:t>
            </w:r>
            <w:r w:rsidR="008D0EE8">
              <w:rPr>
                <w:noProof/>
                <w:webHidden/>
              </w:rPr>
              <w:fldChar w:fldCharType="end"/>
            </w:r>
          </w:hyperlink>
        </w:p>
        <w:p w:rsidR="008D0EE8" w:rsidRDefault="008150A8">
          <w:pPr>
            <w:pStyle w:val="TDC1"/>
            <w:rPr>
              <w:rFonts w:eastAsiaTheme="minorEastAsia"/>
              <w:noProof/>
              <w:lang w:eastAsia="es-MX"/>
            </w:rPr>
          </w:pPr>
          <w:hyperlink w:anchor="_Toc527372984" w:history="1">
            <w:r w:rsidR="008D0EE8" w:rsidRPr="00B469B3">
              <w:rPr>
                <w:rStyle w:val="Hipervnculo"/>
                <w:rFonts w:ascii="Palatino Linotype" w:hAnsi="Palatino Linotype"/>
                <w:b/>
                <w:noProof/>
              </w:rPr>
              <w:t>V.</w:t>
            </w:r>
            <w:r w:rsidR="008D0EE8">
              <w:rPr>
                <w:rFonts w:eastAsiaTheme="minorEastAsia"/>
                <w:noProof/>
                <w:lang w:eastAsia="es-MX"/>
              </w:rPr>
              <w:tab/>
            </w:r>
            <w:r w:rsidR="008D0EE8" w:rsidRPr="00B469B3">
              <w:rPr>
                <w:rStyle w:val="Hipervnculo"/>
                <w:rFonts w:ascii="Palatino Linotype" w:hAnsi="Palatino Linotype"/>
                <w:b/>
                <w:noProof/>
              </w:rPr>
              <w:t>Conclusiones.</w:t>
            </w:r>
            <w:r w:rsidR="008D0EE8">
              <w:rPr>
                <w:noProof/>
                <w:webHidden/>
              </w:rPr>
              <w:tab/>
            </w:r>
            <w:r w:rsidR="008D0EE8">
              <w:rPr>
                <w:noProof/>
                <w:webHidden/>
              </w:rPr>
              <w:fldChar w:fldCharType="begin"/>
            </w:r>
            <w:r w:rsidR="008D0EE8">
              <w:rPr>
                <w:noProof/>
                <w:webHidden/>
              </w:rPr>
              <w:instrText xml:space="preserve"> PAGEREF _Toc527372984 \h </w:instrText>
            </w:r>
            <w:r w:rsidR="008D0EE8">
              <w:rPr>
                <w:noProof/>
                <w:webHidden/>
              </w:rPr>
            </w:r>
            <w:r w:rsidR="008D0EE8">
              <w:rPr>
                <w:noProof/>
                <w:webHidden/>
              </w:rPr>
              <w:fldChar w:fldCharType="separate"/>
            </w:r>
            <w:r w:rsidR="00177AA7">
              <w:rPr>
                <w:noProof/>
                <w:webHidden/>
              </w:rPr>
              <w:t>18</w:t>
            </w:r>
            <w:r w:rsidR="008D0EE8">
              <w:rPr>
                <w:noProof/>
                <w:webHidden/>
              </w:rPr>
              <w:fldChar w:fldCharType="end"/>
            </w:r>
          </w:hyperlink>
        </w:p>
        <w:p w:rsidR="00072966" w:rsidRPr="003C7244" w:rsidRDefault="0046491C" w:rsidP="003C7244">
          <w:pPr>
            <w:spacing w:line="360" w:lineRule="auto"/>
            <w:rPr>
              <w:rFonts w:ascii="Palatino Linotype" w:hAnsi="Palatino Linotype"/>
            </w:rPr>
          </w:pPr>
          <w:r w:rsidRPr="00072966">
            <w:rPr>
              <w:rFonts w:ascii="Palatino Linotype" w:hAnsi="Palatino Linotype"/>
              <w:b/>
              <w:bCs/>
              <w:lang w:val="es-ES"/>
            </w:rPr>
            <w:fldChar w:fldCharType="end"/>
          </w:r>
        </w:p>
      </w:sdtContent>
    </w:sdt>
    <w:p w:rsidR="003C7244" w:rsidRDefault="003C7244" w:rsidP="003C7244"/>
    <w:p w:rsidR="007879C6" w:rsidRDefault="007879C6" w:rsidP="003C7244"/>
    <w:p w:rsidR="007879C6" w:rsidRDefault="007879C6" w:rsidP="003C7244"/>
    <w:p w:rsidR="007879C6" w:rsidRDefault="007879C6" w:rsidP="003C7244"/>
    <w:p w:rsidR="007879C6" w:rsidRDefault="007879C6" w:rsidP="003C7244"/>
    <w:p w:rsidR="003C7244" w:rsidRDefault="003C7244" w:rsidP="003C7244"/>
    <w:p w:rsidR="003C7244" w:rsidRDefault="003C7244" w:rsidP="003C7244"/>
    <w:p w:rsidR="00C435AF" w:rsidRDefault="00C435AF" w:rsidP="003C7244"/>
    <w:p w:rsidR="00C435AF" w:rsidRDefault="00C435AF" w:rsidP="003C7244"/>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7372980"/>
      <w:r w:rsidRPr="00072966">
        <w:rPr>
          <w:rFonts w:ascii="Palatino Linotype" w:hAnsi="Palatino Linotype"/>
          <w:b/>
          <w:color w:val="auto"/>
          <w:sz w:val="24"/>
          <w:szCs w:val="24"/>
        </w:rPr>
        <w:lastRenderedPageBreak/>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C435AF">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7879C6">
        <w:rPr>
          <w:rFonts w:ascii="Palatino Linotype" w:hAnsi="Palatino Linotype" w:cs="Arial"/>
          <w:sz w:val="24"/>
          <w:szCs w:val="24"/>
        </w:rPr>
        <w:t>Trigésima Quinta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C435AF">
        <w:rPr>
          <w:rFonts w:ascii="Palatino Linotype" w:hAnsi="Palatino Linotype" w:cs="Arial"/>
          <w:sz w:val="24"/>
          <w:szCs w:val="24"/>
        </w:rPr>
        <w:t xml:space="preserve">diez (10) de octubre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864C68" w:rsidRPr="00864C68">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 xml:space="preserve">en contra de la respuesta del </w:t>
      </w:r>
      <w:r w:rsidR="00C435AF" w:rsidRPr="00C435AF">
        <w:rPr>
          <w:rFonts w:ascii="Palatino Linotype" w:eastAsia="Calibri" w:hAnsi="Palatino Linotype" w:cs="Times New Roman"/>
          <w:b/>
          <w:sz w:val="24"/>
          <w:szCs w:val="24"/>
          <w:lang w:eastAsia="es-ES"/>
        </w:rPr>
        <w:t>Sistema Municipal Para el Desarrollo Integral de la Familia de Naucalpan de Juárez</w:t>
      </w:r>
      <w:r w:rsidR="0072058F" w:rsidRPr="0072058F">
        <w:rPr>
          <w:rFonts w:ascii="Palatino Linotype" w:eastAsia="Calibri" w:hAnsi="Palatino Linotype" w:cs="Times New Roman"/>
          <w:b/>
          <w:sz w:val="24"/>
          <w:szCs w:val="24"/>
          <w:lang w:eastAsia="es-ES"/>
        </w:rPr>
        <w:t xml:space="preserve">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C435AF">
        <w:rPr>
          <w:rFonts w:ascii="Palatino Linotype" w:eastAsia="Times New Roman" w:hAnsi="Palatino Linotype" w:cs="Arial"/>
          <w:b/>
          <w:bCs/>
          <w:sz w:val="24"/>
          <w:szCs w:val="24"/>
          <w:lang w:eastAsia="es-ES"/>
        </w:rPr>
        <w:t>3200</w:t>
      </w:r>
      <w:r w:rsidR="00C7250F" w:rsidRPr="005A15E9">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DF7B12">
      <w:pPr>
        <w:pStyle w:val="Prrafodelista"/>
        <w:spacing w:after="0" w:line="240" w:lineRule="auto"/>
        <w:ind w:left="426"/>
        <w:jc w:val="both"/>
        <w:rPr>
          <w:rFonts w:ascii="Palatino Linotype" w:hAnsi="Palatino Linotype" w:cs="Arial"/>
          <w:sz w:val="24"/>
          <w:szCs w:val="24"/>
        </w:rPr>
      </w:pPr>
    </w:p>
    <w:p w:rsidR="00616B05" w:rsidRPr="000A42F6" w:rsidRDefault="00C7250F" w:rsidP="00BF43E0">
      <w:pPr>
        <w:pStyle w:val="Prrafodelista"/>
        <w:numPr>
          <w:ilvl w:val="0"/>
          <w:numId w:val="1"/>
        </w:numPr>
        <w:spacing w:before="240" w:after="0" w:line="360" w:lineRule="auto"/>
        <w:ind w:right="49"/>
        <w:jc w:val="both"/>
        <w:rPr>
          <w:rFonts w:ascii="Palatino Linotype" w:hAnsi="Palatino Linotype" w:cs="Arial"/>
          <w:sz w:val="24"/>
          <w:szCs w:val="24"/>
        </w:rPr>
      </w:pPr>
      <w:r w:rsidRPr="000A42F6">
        <w:rPr>
          <w:rFonts w:ascii="Palatino Linotype" w:hAnsi="Palatino Linotype" w:cs="Arial"/>
          <w:sz w:val="24"/>
          <w:szCs w:val="24"/>
        </w:rPr>
        <w:t>El sentido de la Resolución determin</w:t>
      </w:r>
      <w:r w:rsidR="00BF43E0" w:rsidRPr="000A42F6">
        <w:rPr>
          <w:rFonts w:ascii="Palatino Linotype" w:hAnsi="Palatino Linotype" w:cs="Arial"/>
          <w:sz w:val="24"/>
          <w:szCs w:val="24"/>
        </w:rPr>
        <w:t xml:space="preserve">ó </w:t>
      </w:r>
      <w:r w:rsidR="00BF43E0" w:rsidRPr="000A42F6">
        <w:rPr>
          <w:rFonts w:ascii="Palatino Linotype" w:hAnsi="Palatino Linotype" w:cs="Arial"/>
          <w:b/>
          <w:bCs/>
          <w:sz w:val="24"/>
          <w:szCs w:val="24"/>
        </w:rPr>
        <w:t>SOBRESEER</w:t>
      </w:r>
      <w:r w:rsidR="00BF43E0" w:rsidRPr="000A42F6">
        <w:rPr>
          <w:rFonts w:ascii="Palatino Linotype" w:hAnsi="Palatino Linotype" w:cs="Arial"/>
          <w:bCs/>
          <w:sz w:val="24"/>
          <w:szCs w:val="24"/>
        </w:rPr>
        <w:t xml:space="preserve"> el recurso de revisión </w:t>
      </w:r>
      <w:r w:rsidR="00BF43E0" w:rsidRPr="000A42F6">
        <w:rPr>
          <w:rFonts w:ascii="Palatino Linotype" w:hAnsi="Palatino Linotype"/>
          <w:sz w:val="24"/>
          <w:szCs w:val="24"/>
          <w:lang w:val="es-ES_tradnl"/>
        </w:rPr>
        <w:t>porque al modificar la respuesta el recurs</w:t>
      </w:r>
      <w:r w:rsidR="0006605E" w:rsidRPr="000A42F6">
        <w:rPr>
          <w:rFonts w:ascii="Palatino Linotype" w:hAnsi="Palatino Linotype"/>
          <w:sz w:val="24"/>
          <w:szCs w:val="24"/>
          <w:lang w:val="es-ES_tradnl"/>
        </w:rPr>
        <w:t>o de revisión quedó sin materia.</w:t>
      </w:r>
    </w:p>
    <w:p w:rsidR="0006605E" w:rsidRPr="00BF43E0" w:rsidRDefault="0006605E" w:rsidP="00DF7B12">
      <w:pPr>
        <w:pStyle w:val="Prrafodelista"/>
        <w:spacing w:before="240" w:after="0" w:line="240" w:lineRule="auto"/>
        <w:ind w:left="360" w:right="49"/>
        <w:jc w:val="both"/>
        <w:rPr>
          <w:rFonts w:ascii="Palatino Linotype" w:hAnsi="Palatino Linotype" w:cs="Arial"/>
        </w:rPr>
      </w:pPr>
    </w:p>
    <w:p w:rsidR="003A230F" w:rsidRDefault="000B7C6E" w:rsidP="00941BF8">
      <w:pPr>
        <w:pStyle w:val="Prrafodelista"/>
        <w:numPr>
          <w:ilvl w:val="0"/>
          <w:numId w:val="1"/>
        </w:numPr>
        <w:spacing w:before="240" w:after="0" w:line="360" w:lineRule="auto"/>
        <w:ind w:right="49"/>
        <w:jc w:val="both"/>
        <w:rPr>
          <w:rFonts w:ascii="Palatino Linotype" w:hAnsi="Palatino Linotype" w:cs="Arial"/>
          <w:sz w:val="24"/>
          <w:szCs w:val="24"/>
        </w:rPr>
      </w:pPr>
      <w:r w:rsidRPr="003A230F">
        <w:rPr>
          <w:rFonts w:ascii="Palatino Linotype" w:hAnsi="Palatino Linotype" w:cs="Arial"/>
          <w:sz w:val="24"/>
          <w:szCs w:val="24"/>
        </w:rPr>
        <w:t>S</w:t>
      </w:r>
      <w:r w:rsidR="00C7250F" w:rsidRPr="003A230F">
        <w:rPr>
          <w:rFonts w:ascii="Palatino Linotype" w:hAnsi="Palatino Linotype" w:cs="Arial"/>
          <w:sz w:val="24"/>
          <w:szCs w:val="24"/>
        </w:rPr>
        <w:t>in embargo, m</w:t>
      </w:r>
      <w:r w:rsidR="0046491C" w:rsidRPr="003A230F">
        <w:rPr>
          <w:rFonts w:ascii="Palatino Linotype" w:hAnsi="Palatino Linotype" w:cs="Arial"/>
          <w:sz w:val="24"/>
          <w:szCs w:val="24"/>
        </w:rPr>
        <w:t xml:space="preserve">i </w:t>
      </w:r>
      <w:r w:rsidR="00D33AF9" w:rsidRPr="003A230F">
        <w:rPr>
          <w:rFonts w:ascii="Palatino Linotype" w:hAnsi="Palatino Linotype" w:cs="Arial"/>
          <w:sz w:val="24"/>
          <w:szCs w:val="24"/>
        </w:rPr>
        <w:t>voto</w:t>
      </w:r>
      <w:r w:rsidR="0046491C" w:rsidRPr="003A230F">
        <w:rPr>
          <w:rFonts w:ascii="Palatino Linotype" w:hAnsi="Palatino Linotype" w:cs="Arial"/>
          <w:sz w:val="24"/>
          <w:szCs w:val="24"/>
        </w:rPr>
        <w:t xml:space="preserve"> particular se deriva del hecho de que</w:t>
      </w:r>
      <w:r w:rsidR="00C435AF" w:rsidRPr="003A230F">
        <w:rPr>
          <w:rFonts w:ascii="Palatino Linotype" w:hAnsi="Palatino Linotype" w:cs="Arial"/>
          <w:sz w:val="24"/>
          <w:szCs w:val="24"/>
        </w:rPr>
        <w:t xml:space="preserve"> no</w:t>
      </w:r>
      <w:r w:rsidR="0046491C" w:rsidRPr="003A230F">
        <w:rPr>
          <w:rFonts w:ascii="Palatino Linotype" w:hAnsi="Palatino Linotype" w:cs="Arial"/>
          <w:sz w:val="24"/>
          <w:szCs w:val="24"/>
        </w:rPr>
        <w:t xml:space="preserve"> se haya invocado </w:t>
      </w:r>
      <w:r w:rsidR="00C435AF" w:rsidRPr="003A230F">
        <w:rPr>
          <w:rFonts w:ascii="Palatino Linotype" w:hAnsi="Palatino Linotype" w:cs="Arial"/>
          <w:sz w:val="24"/>
          <w:szCs w:val="24"/>
        </w:rPr>
        <w:t>en favor del recurrente la suplencia de la queja prevista en los artículos 13 y 181 de la Ley de Transparencia y Acceso a la Información Pública del Estado de México y Municipios</w:t>
      </w:r>
      <w:r w:rsidR="003A230F" w:rsidRPr="003A230F">
        <w:rPr>
          <w:rFonts w:ascii="Palatino Linotype" w:hAnsi="Palatino Linotype" w:cs="Arial"/>
          <w:sz w:val="24"/>
          <w:szCs w:val="24"/>
        </w:rPr>
        <w:t>.</w:t>
      </w:r>
    </w:p>
    <w:p w:rsidR="003A230F" w:rsidRPr="003A230F" w:rsidRDefault="003A230F" w:rsidP="003A230F">
      <w:pPr>
        <w:pStyle w:val="Prrafodelista"/>
        <w:rPr>
          <w:rFonts w:ascii="Palatino Linotype" w:hAnsi="Palatino Linotype" w:cs="Arial"/>
          <w:sz w:val="24"/>
          <w:szCs w:val="24"/>
        </w:rPr>
      </w:pPr>
    </w:p>
    <w:p w:rsidR="0046491C" w:rsidRDefault="0046491C" w:rsidP="00941BF8">
      <w:pPr>
        <w:pStyle w:val="Prrafodelista"/>
        <w:numPr>
          <w:ilvl w:val="0"/>
          <w:numId w:val="1"/>
        </w:numPr>
        <w:spacing w:before="240" w:after="0" w:line="360" w:lineRule="auto"/>
        <w:ind w:right="49"/>
        <w:jc w:val="both"/>
        <w:rPr>
          <w:rFonts w:ascii="Palatino Linotype" w:hAnsi="Palatino Linotype" w:cs="Arial"/>
          <w:sz w:val="24"/>
          <w:szCs w:val="24"/>
        </w:rPr>
      </w:pPr>
      <w:r w:rsidRPr="003A230F">
        <w:rPr>
          <w:rFonts w:ascii="Palatino Linotype" w:hAnsi="Palatino Linotype" w:cs="Arial"/>
          <w:sz w:val="24"/>
          <w:szCs w:val="24"/>
        </w:rPr>
        <w:t>Por tal motivo y en térm</w:t>
      </w:r>
      <w:r w:rsidR="003A230F" w:rsidRPr="003A230F">
        <w:rPr>
          <w:rFonts w:ascii="Palatino Linotype" w:hAnsi="Palatino Linotype" w:cs="Arial"/>
          <w:sz w:val="24"/>
          <w:szCs w:val="24"/>
        </w:rPr>
        <w:t>i</w:t>
      </w:r>
      <w:r w:rsidRPr="003A230F">
        <w:rPr>
          <w:rFonts w:ascii="Palatino Linotype" w:hAnsi="Palatino Linotype" w:cs="Arial"/>
          <w:sz w:val="24"/>
          <w:szCs w:val="24"/>
        </w:rPr>
        <w:t xml:space="preserve">nos de lo señalado por los artículos </w:t>
      </w:r>
      <w:r w:rsidR="00AA49F3" w:rsidRPr="003A230F">
        <w:rPr>
          <w:rFonts w:ascii="Palatino Linotype" w:hAnsi="Palatino Linotype" w:cs="Arial"/>
          <w:sz w:val="24"/>
          <w:szCs w:val="24"/>
        </w:rPr>
        <w:t>14</w:t>
      </w:r>
      <w:r w:rsidRPr="003A230F">
        <w:rPr>
          <w:rFonts w:ascii="Palatino Linotype" w:hAnsi="Palatino Linotype" w:cs="Arial"/>
          <w:sz w:val="24"/>
          <w:szCs w:val="24"/>
        </w:rPr>
        <w:t xml:space="preserve"> fracción </w:t>
      </w:r>
      <w:r w:rsidR="00AA49F3" w:rsidRPr="003A230F">
        <w:rPr>
          <w:rFonts w:ascii="Palatino Linotype" w:hAnsi="Palatino Linotype" w:cs="Arial"/>
          <w:sz w:val="24"/>
          <w:szCs w:val="24"/>
        </w:rPr>
        <w:t>XI</w:t>
      </w:r>
      <w:r w:rsidRPr="003A230F">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BB3BD8" w:rsidRPr="00BB3BD8" w:rsidRDefault="00BB3BD8" w:rsidP="00BB3BD8">
      <w:pPr>
        <w:pStyle w:val="Prrafodelista"/>
        <w:rPr>
          <w:rFonts w:ascii="Palatino Linotype" w:hAnsi="Palatino Linotype" w:cs="Arial"/>
          <w:sz w:val="24"/>
          <w:szCs w:val="24"/>
        </w:rPr>
      </w:pPr>
    </w:p>
    <w:p w:rsidR="00BB3BD8" w:rsidRPr="003A230F" w:rsidRDefault="00BB3BD8" w:rsidP="00BB3BD8">
      <w:pPr>
        <w:pStyle w:val="Prrafodelista"/>
        <w:spacing w:before="240" w:after="0" w:line="360" w:lineRule="auto"/>
        <w:ind w:left="360" w:right="49"/>
        <w:jc w:val="both"/>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27372981"/>
      <w:r w:rsidRPr="00072966">
        <w:rPr>
          <w:rFonts w:ascii="Palatino Linotype" w:hAnsi="Palatino Linotype"/>
          <w:b/>
          <w:color w:val="auto"/>
          <w:sz w:val="24"/>
          <w:szCs w:val="24"/>
        </w:rPr>
        <w:lastRenderedPageBreak/>
        <w:t>De los requerimientos planteados en el recurso de revisión.</w:t>
      </w:r>
      <w:bookmarkEnd w:id="1"/>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BB3BD8"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w:t>
      </w:r>
      <w:r w:rsidR="00421A38">
        <w:rPr>
          <w:rFonts w:ascii="Palatino Linotype" w:hAnsi="Palatino Linotype" w:cs="Arial"/>
          <w:sz w:val="24"/>
          <w:szCs w:val="24"/>
        </w:rPr>
        <w:t>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Pr="00176F32" w:rsidRDefault="005D79D3" w:rsidP="00FE38B3">
      <w:pPr>
        <w:pStyle w:val="Prrafodelista"/>
        <w:autoSpaceDE w:val="0"/>
        <w:autoSpaceDN w:val="0"/>
        <w:adjustRightInd w:val="0"/>
        <w:spacing w:after="0" w:line="276" w:lineRule="auto"/>
        <w:ind w:left="993" w:right="758"/>
        <w:contextualSpacing w:val="0"/>
        <w:jc w:val="both"/>
        <w:rPr>
          <w:rFonts w:ascii="Palatino Linotype" w:hAnsi="Palatino Linotype"/>
          <w:i/>
          <w:color w:val="000000"/>
          <w:sz w:val="24"/>
        </w:rPr>
      </w:pPr>
      <w:r w:rsidRPr="00176F32">
        <w:rPr>
          <w:rFonts w:ascii="Palatino Linotype" w:hAnsi="Palatino Linotype"/>
          <w:i/>
          <w:color w:val="000000"/>
          <w:sz w:val="24"/>
        </w:rPr>
        <w:t>“</w:t>
      </w:r>
      <w:r w:rsidR="007525B0" w:rsidRPr="00176F32">
        <w:rPr>
          <w:rFonts w:ascii="Palatino Linotype" w:hAnsi="Palatino Linotype"/>
          <w:i/>
          <w:color w:val="000000"/>
          <w:sz w:val="24"/>
        </w:rPr>
        <w:t xml:space="preserve">Me refiero a la obligación de cargar en el sistema público de oficio mexiquense a través de la herramienta IPOMEX, la información relativa a los procedimientos de contratación mediante Adjudicación directa, Licitación Pública o Invitación Restringida señaladas en el artículo 92 de la Ley de Transparencia del Estado de México. Al respecto, y en virtud de que la obligación del ayuntamiento como sujeto obligado de cargar dichos procedimientos no se encuentra completa, solicito lo siguiente: Relación completa de todos los proveedores, comercializadoras y contratistas con los que el ayuntamiento ha suscrito algún instrumento jurídico durante los ejercicios fiscales 2012, 2013, 2014, 2015, 2016, 2017 y 2018 Número de contratos que ha suscrito cualquier Unidad Administrativa del ayuntamiento con la empresa “Grupo ARGOG y asociados, S.A. De C.V.” “ARGOG, S.A. </w:t>
      </w:r>
      <w:proofErr w:type="spellStart"/>
      <w:r w:rsidR="007525B0" w:rsidRPr="00176F32">
        <w:rPr>
          <w:rFonts w:ascii="Palatino Linotype" w:hAnsi="Palatino Linotype"/>
          <w:i/>
          <w:color w:val="000000"/>
          <w:sz w:val="24"/>
        </w:rPr>
        <w:t>se</w:t>
      </w:r>
      <w:proofErr w:type="spellEnd"/>
      <w:r w:rsidR="007525B0" w:rsidRPr="00176F32">
        <w:rPr>
          <w:rFonts w:ascii="Palatino Linotype" w:hAnsi="Palatino Linotype"/>
          <w:i/>
          <w:color w:val="000000"/>
          <w:sz w:val="24"/>
        </w:rPr>
        <w:t xml:space="preserve"> C.V.” o cualquiera que contenga datos de identificación de la empresa; en los ejercicios fiscales 2012, 2013, 2014, 2015, 2016, 2017 y 2018. Objeto de cada contrato Monto pagado y vigencia de cada uno de ellos Versión Pública debidamente elaborada de los contratos y sus respectivos anexos técnicos Versión publica de las actas de comité, propuesta técnica y económica del proveedor, y en su caso, estudio de mercado. En caso de que </w:t>
      </w:r>
      <w:proofErr w:type="gramStart"/>
      <w:r w:rsidR="007525B0" w:rsidRPr="00176F32">
        <w:rPr>
          <w:rFonts w:ascii="Palatino Linotype" w:hAnsi="Palatino Linotype"/>
          <w:i/>
          <w:color w:val="000000"/>
          <w:sz w:val="24"/>
        </w:rPr>
        <w:t>hubieran</w:t>
      </w:r>
      <w:proofErr w:type="gramEnd"/>
      <w:r w:rsidR="007525B0" w:rsidRPr="00176F32">
        <w:rPr>
          <w:rFonts w:ascii="Palatino Linotype" w:hAnsi="Palatino Linotype"/>
          <w:i/>
          <w:color w:val="000000"/>
          <w:sz w:val="24"/>
        </w:rPr>
        <w:t xml:space="preserve"> excepciones a licitación pública, versión pública de las actas u homólogos, donde se compruebe la razón por la cual se optó por ese tipo de procedimiento. Gracias</w:t>
      </w:r>
      <w:proofErr w:type="gramStart"/>
      <w:r w:rsidR="007525B0" w:rsidRPr="00176F32">
        <w:rPr>
          <w:rFonts w:ascii="Palatino Linotype" w:hAnsi="Palatino Linotype"/>
          <w:i/>
          <w:color w:val="000000"/>
          <w:sz w:val="24"/>
        </w:rPr>
        <w:t>.</w:t>
      </w:r>
      <w:r w:rsidRPr="00176F32">
        <w:rPr>
          <w:rFonts w:ascii="Palatino Linotype" w:hAnsi="Palatino Linotype"/>
          <w:i/>
          <w:color w:val="000000"/>
          <w:sz w:val="24"/>
        </w:rPr>
        <w:t>.”</w:t>
      </w:r>
      <w:proofErr w:type="gramEnd"/>
      <w:r w:rsidRPr="00176F32">
        <w:rPr>
          <w:rFonts w:ascii="Palatino Linotype" w:hAnsi="Palatino Linotype"/>
          <w:i/>
          <w:color w:val="000000"/>
          <w:sz w:val="24"/>
        </w:rPr>
        <w:t xml:space="preserve"> (Sic)</w:t>
      </w:r>
    </w:p>
    <w:p w:rsidR="007525B0" w:rsidRPr="00176F32" w:rsidRDefault="007525B0" w:rsidP="00176F32">
      <w:pPr>
        <w:pStyle w:val="Prrafodelista"/>
        <w:autoSpaceDE w:val="0"/>
        <w:autoSpaceDN w:val="0"/>
        <w:adjustRightInd w:val="0"/>
        <w:spacing w:after="0" w:line="240" w:lineRule="auto"/>
        <w:ind w:left="993" w:right="758"/>
        <w:contextualSpacing w:val="0"/>
        <w:jc w:val="both"/>
        <w:rPr>
          <w:rFonts w:ascii="Palatino Linotype" w:hAnsi="Palatino Linotype"/>
          <w:i/>
          <w:color w:val="000000"/>
          <w:sz w:val="18"/>
        </w:rPr>
      </w:pPr>
    </w:p>
    <w:p w:rsidR="007525B0" w:rsidRPr="007525B0" w:rsidRDefault="00AE4797" w:rsidP="00C44341">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42345D">
        <w:rPr>
          <w:rFonts w:ascii="Palatino Linotype" w:hAnsi="Palatino Linotype" w:cs="Arial"/>
          <w:sz w:val="24"/>
          <w:szCs w:val="24"/>
        </w:rPr>
        <w:t xml:space="preserve">El Sujeto Obligado </w:t>
      </w:r>
      <w:r w:rsidR="00C7250F" w:rsidRPr="0042345D">
        <w:rPr>
          <w:rFonts w:ascii="Palatino Linotype" w:hAnsi="Palatino Linotype" w:cs="Arial"/>
          <w:sz w:val="24"/>
          <w:szCs w:val="24"/>
        </w:rPr>
        <w:t>en respuesta</w:t>
      </w:r>
      <w:r w:rsidR="00746812">
        <w:rPr>
          <w:rFonts w:ascii="Palatino Linotype" w:hAnsi="Palatino Linotype" w:cs="Arial"/>
          <w:sz w:val="24"/>
          <w:szCs w:val="24"/>
        </w:rPr>
        <w:t xml:space="preserve"> señal</w:t>
      </w:r>
      <w:r w:rsidR="0040354A">
        <w:rPr>
          <w:rFonts w:ascii="Palatino Linotype" w:hAnsi="Palatino Linotype" w:cs="Arial"/>
          <w:sz w:val="24"/>
          <w:szCs w:val="24"/>
        </w:rPr>
        <w:t>ó</w:t>
      </w:r>
      <w:r w:rsidR="00C44341">
        <w:rPr>
          <w:rFonts w:ascii="Palatino Linotype" w:hAnsi="Palatino Linotype" w:cs="Arial"/>
          <w:sz w:val="24"/>
          <w:szCs w:val="24"/>
        </w:rPr>
        <w:t xml:space="preserve"> </w:t>
      </w:r>
      <w:r w:rsidR="007525B0">
        <w:rPr>
          <w:rFonts w:ascii="Palatino Linotype" w:hAnsi="Palatino Linotype" w:cs="Arial"/>
          <w:sz w:val="24"/>
          <w:szCs w:val="24"/>
        </w:rPr>
        <w:t xml:space="preserve">lo siguiente: </w:t>
      </w:r>
    </w:p>
    <w:p w:rsidR="007525B0" w:rsidRPr="00FE38B3" w:rsidRDefault="007525B0" w:rsidP="00FE38B3">
      <w:pPr>
        <w:pStyle w:val="Prrafodelista"/>
        <w:autoSpaceDE w:val="0"/>
        <w:autoSpaceDN w:val="0"/>
        <w:adjustRightInd w:val="0"/>
        <w:spacing w:after="0" w:line="276" w:lineRule="auto"/>
        <w:ind w:left="993" w:right="758"/>
        <w:contextualSpacing w:val="0"/>
        <w:jc w:val="both"/>
        <w:rPr>
          <w:rFonts w:ascii="Palatino Linotype" w:hAnsi="Palatino Linotype" w:cs="Arial"/>
          <w:i/>
          <w:sz w:val="24"/>
          <w:szCs w:val="24"/>
        </w:rPr>
      </w:pPr>
      <w:r w:rsidRPr="00FE38B3">
        <w:rPr>
          <w:rFonts w:ascii="Palatino Linotype" w:hAnsi="Palatino Linotype" w:cs="Arial"/>
          <w:i/>
          <w:sz w:val="24"/>
          <w:szCs w:val="24"/>
        </w:rPr>
        <w:t xml:space="preserve">“la información que solicita no obra en la información de los Archivos del </w:t>
      </w:r>
      <w:proofErr w:type="spellStart"/>
      <w:r w:rsidRPr="00FE38B3">
        <w:rPr>
          <w:rFonts w:ascii="Palatino Linotype" w:hAnsi="Palatino Linotype" w:cs="Arial"/>
          <w:i/>
          <w:sz w:val="24"/>
          <w:szCs w:val="24"/>
        </w:rPr>
        <w:t>Dif</w:t>
      </w:r>
      <w:proofErr w:type="spellEnd"/>
      <w:r w:rsidRPr="00FE38B3">
        <w:rPr>
          <w:rFonts w:ascii="Palatino Linotype" w:hAnsi="Palatino Linotype" w:cs="Arial"/>
          <w:i/>
          <w:sz w:val="24"/>
          <w:szCs w:val="24"/>
        </w:rPr>
        <w:t xml:space="preserve"> </w:t>
      </w:r>
      <w:proofErr w:type="spellStart"/>
      <w:r w:rsidRPr="00FE38B3">
        <w:rPr>
          <w:rFonts w:ascii="Palatino Linotype" w:hAnsi="Palatino Linotype" w:cs="Arial"/>
          <w:i/>
          <w:sz w:val="24"/>
          <w:szCs w:val="24"/>
        </w:rPr>
        <w:t>naucalpan</w:t>
      </w:r>
      <w:proofErr w:type="spellEnd"/>
      <w:r w:rsidRPr="00FE38B3">
        <w:rPr>
          <w:rFonts w:ascii="Palatino Linotype" w:hAnsi="Palatino Linotype" w:cs="Arial"/>
          <w:i/>
          <w:sz w:val="24"/>
          <w:szCs w:val="24"/>
        </w:rPr>
        <w:t xml:space="preserve">, solicítelo al H ayuntamiento de Naucalpan de Juárez. </w:t>
      </w:r>
      <w:proofErr w:type="gramStart"/>
      <w:r w:rsidRPr="00FE38B3">
        <w:rPr>
          <w:rFonts w:ascii="Palatino Linotype" w:hAnsi="Palatino Linotype" w:cs="Arial"/>
          <w:i/>
          <w:sz w:val="24"/>
          <w:szCs w:val="24"/>
        </w:rPr>
        <w:lastRenderedPageBreak/>
        <w:t>nosotros</w:t>
      </w:r>
      <w:proofErr w:type="gramEnd"/>
      <w:r w:rsidRPr="00FE38B3">
        <w:rPr>
          <w:rFonts w:ascii="Palatino Linotype" w:hAnsi="Palatino Linotype" w:cs="Arial"/>
          <w:i/>
          <w:sz w:val="24"/>
          <w:szCs w:val="24"/>
        </w:rPr>
        <w:t xml:space="preserve"> solo contenemos información referente a las actividades de "DIF" </w:t>
      </w:r>
      <w:proofErr w:type="spellStart"/>
      <w:r w:rsidRPr="00FE38B3">
        <w:rPr>
          <w:rFonts w:ascii="Palatino Linotype" w:hAnsi="Palatino Linotype" w:cs="Arial"/>
          <w:i/>
          <w:sz w:val="24"/>
          <w:szCs w:val="24"/>
        </w:rPr>
        <w:t>naucalpan</w:t>
      </w:r>
      <w:proofErr w:type="spellEnd"/>
      <w:r w:rsidRPr="00FE38B3">
        <w:rPr>
          <w:rFonts w:ascii="Palatino Linotype" w:hAnsi="Palatino Linotype" w:cs="Arial"/>
          <w:i/>
          <w:sz w:val="24"/>
          <w:szCs w:val="24"/>
        </w:rPr>
        <w:t>.”</w:t>
      </w:r>
      <w:r w:rsidRPr="00FE38B3">
        <w:rPr>
          <w:rFonts w:ascii="Palatino Linotype" w:hAnsi="Palatino Linotype"/>
          <w:i/>
          <w:color w:val="000000"/>
          <w:sz w:val="24"/>
          <w:szCs w:val="24"/>
        </w:rPr>
        <w:t xml:space="preserve"> (Sic)</w:t>
      </w:r>
    </w:p>
    <w:p w:rsidR="00C44341" w:rsidRPr="005D79D3" w:rsidRDefault="00C44341" w:rsidP="00DF7B12">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58139C" w:rsidRPr="0058139C"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7525B0">
        <w:rPr>
          <w:rFonts w:ascii="Palatino Linotype" w:hAnsi="Palatino Linotype" w:cs="Arial"/>
          <w:sz w:val="24"/>
          <w:szCs w:val="24"/>
        </w:rPr>
        <w:t>el</w:t>
      </w:r>
      <w:r w:rsidR="00AE4797" w:rsidRPr="0095525C">
        <w:rPr>
          <w:rFonts w:ascii="Palatino Linotype" w:hAnsi="Palatino Linotype" w:cs="Arial"/>
          <w:sz w:val="24"/>
          <w:szCs w:val="24"/>
        </w:rPr>
        <w:t xml:space="preserve"> particular 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como</w:t>
      </w:r>
      <w:r w:rsidR="0058139C">
        <w:rPr>
          <w:rFonts w:ascii="Palatino Linotype" w:hAnsi="Palatino Linotype" w:cs="Arial"/>
          <w:sz w:val="24"/>
          <w:szCs w:val="24"/>
        </w:rPr>
        <w:t xml:space="preserve">: </w:t>
      </w:r>
    </w:p>
    <w:p w:rsidR="00B41223" w:rsidRPr="00B41223" w:rsidRDefault="00B41223" w:rsidP="00B41223">
      <w:pPr>
        <w:pStyle w:val="Prrafodelista"/>
        <w:spacing w:before="240" w:line="360" w:lineRule="auto"/>
        <w:ind w:left="709" w:hanging="142"/>
        <w:jc w:val="both"/>
        <w:rPr>
          <w:rFonts w:ascii="Palatino Linotype" w:hAnsi="Palatino Linotype" w:cs="Arial"/>
          <w:b/>
          <w:sz w:val="24"/>
        </w:rPr>
      </w:pPr>
      <w:r w:rsidRPr="00B41223">
        <w:rPr>
          <w:rFonts w:ascii="Palatino Linotype" w:hAnsi="Palatino Linotype" w:cs="Arial"/>
          <w:b/>
          <w:sz w:val="24"/>
        </w:rPr>
        <w:t>Acto Impugnado:</w:t>
      </w:r>
    </w:p>
    <w:p w:rsidR="00B41223" w:rsidRPr="00176F32" w:rsidRDefault="00B41223" w:rsidP="00FE38B3">
      <w:pPr>
        <w:pStyle w:val="Prrafodelista"/>
        <w:autoSpaceDE w:val="0"/>
        <w:autoSpaceDN w:val="0"/>
        <w:adjustRightInd w:val="0"/>
        <w:spacing w:after="0" w:line="276" w:lineRule="auto"/>
        <w:ind w:left="993" w:right="758"/>
        <w:contextualSpacing w:val="0"/>
        <w:jc w:val="both"/>
        <w:rPr>
          <w:rFonts w:ascii="Palatino Linotype" w:hAnsi="Palatino Linotype" w:cs="Arial"/>
          <w:i/>
          <w:sz w:val="24"/>
          <w:szCs w:val="24"/>
        </w:rPr>
      </w:pPr>
      <w:r w:rsidRPr="00176F32">
        <w:rPr>
          <w:rFonts w:ascii="Palatino Linotype" w:hAnsi="Palatino Linotype" w:cs="Arial"/>
          <w:i/>
          <w:sz w:val="24"/>
          <w:szCs w:val="24"/>
        </w:rPr>
        <w:t xml:space="preserve">“El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w:t>
      </w:r>
      <w:proofErr w:type="spellStart"/>
      <w:r w:rsidRPr="00176F32">
        <w:rPr>
          <w:rFonts w:ascii="Palatino Linotype" w:hAnsi="Palatino Linotype" w:cs="Arial"/>
          <w:i/>
          <w:sz w:val="24"/>
          <w:szCs w:val="24"/>
        </w:rPr>
        <w:t>Dif</w:t>
      </w:r>
      <w:proofErr w:type="spellEnd"/>
      <w:r w:rsidRPr="00176F32">
        <w:rPr>
          <w:rFonts w:ascii="Palatino Linotype" w:hAnsi="Palatino Linotype" w:cs="Arial"/>
          <w:i/>
          <w:sz w:val="24"/>
          <w:szCs w:val="24"/>
        </w:rPr>
        <w:t xml:space="preserve"> </w:t>
      </w:r>
      <w:proofErr w:type="spellStart"/>
      <w:r w:rsidRPr="00176F32">
        <w:rPr>
          <w:rFonts w:ascii="Palatino Linotype" w:hAnsi="Palatino Linotype" w:cs="Arial"/>
          <w:i/>
          <w:sz w:val="24"/>
          <w:szCs w:val="24"/>
        </w:rPr>
        <w:t>naucalpan</w:t>
      </w:r>
      <w:proofErr w:type="spellEnd"/>
      <w:r w:rsidRPr="00176F32">
        <w:rPr>
          <w:rFonts w:ascii="Palatino Linotype" w:hAnsi="Palatino Linotype" w:cs="Arial"/>
          <w:i/>
          <w:sz w:val="24"/>
          <w:szCs w:val="24"/>
        </w:rPr>
        <w:t xml:space="preserve">, solicítelo al H ayuntamiento de Naucalpan de Juárez. </w:t>
      </w:r>
      <w:proofErr w:type="gramStart"/>
      <w:r w:rsidRPr="00176F32">
        <w:rPr>
          <w:rFonts w:ascii="Palatino Linotype" w:hAnsi="Palatino Linotype" w:cs="Arial"/>
          <w:i/>
          <w:sz w:val="24"/>
          <w:szCs w:val="24"/>
        </w:rPr>
        <w:t>nosotros</w:t>
      </w:r>
      <w:proofErr w:type="gramEnd"/>
      <w:r w:rsidRPr="00176F32">
        <w:rPr>
          <w:rFonts w:ascii="Palatino Linotype" w:hAnsi="Palatino Linotype" w:cs="Arial"/>
          <w:i/>
          <w:sz w:val="24"/>
          <w:szCs w:val="24"/>
        </w:rPr>
        <w:t xml:space="preserve"> solo contenemos información referente a las actividades de "DIF" </w:t>
      </w:r>
      <w:proofErr w:type="spellStart"/>
      <w:r w:rsidRPr="00176F32">
        <w:rPr>
          <w:rFonts w:ascii="Palatino Linotype" w:hAnsi="Palatino Linotype" w:cs="Arial"/>
          <w:i/>
          <w:sz w:val="24"/>
          <w:szCs w:val="24"/>
        </w:rPr>
        <w:t>naucalpan</w:t>
      </w:r>
      <w:proofErr w:type="spellEnd"/>
      <w:r w:rsidRPr="00176F32">
        <w:rPr>
          <w:rFonts w:ascii="Palatino Linotype" w:hAnsi="Palatino Linotype" w:cs="Arial"/>
          <w:i/>
          <w:sz w:val="24"/>
          <w:szCs w:val="24"/>
        </w:rPr>
        <w:t>." SIC Al 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 [</w:t>
      </w:r>
      <w:proofErr w:type="gramStart"/>
      <w:r w:rsidRPr="00176F32">
        <w:rPr>
          <w:rFonts w:ascii="Palatino Linotype" w:hAnsi="Palatino Linotype" w:cs="Arial"/>
          <w:i/>
          <w:sz w:val="24"/>
          <w:szCs w:val="24"/>
        </w:rPr>
        <w:t>sic</w:t>
      </w:r>
      <w:proofErr w:type="gramEnd"/>
      <w:r w:rsidRPr="00176F32">
        <w:rPr>
          <w:rFonts w:ascii="Palatino Linotype" w:hAnsi="Palatino Linotype" w:cs="Arial"/>
          <w:i/>
          <w:sz w:val="24"/>
          <w:szCs w:val="24"/>
        </w:rPr>
        <w:t>]</w:t>
      </w:r>
    </w:p>
    <w:p w:rsidR="00B41223" w:rsidRPr="00B41223" w:rsidRDefault="00B41223" w:rsidP="00176F32">
      <w:pPr>
        <w:pStyle w:val="Prrafodelista"/>
        <w:autoSpaceDE w:val="0"/>
        <w:autoSpaceDN w:val="0"/>
        <w:adjustRightInd w:val="0"/>
        <w:spacing w:after="0" w:line="240" w:lineRule="auto"/>
        <w:ind w:left="993" w:right="758"/>
        <w:contextualSpacing w:val="0"/>
        <w:jc w:val="both"/>
        <w:rPr>
          <w:rFonts w:ascii="Palatino Linotype" w:hAnsi="Palatino Linotype" w:cs="Arial"/>
          <w:i/>
        </w:rPr>
      </w:pPr>
    </w:p>
    <w:p w:rsidR="00B41223" w:rsidRPr="00B41223" w:rsidRDefault="00B41223" w:rsidP="00B41223">
      <w:pPr>
        <w:pStyle w:val="Prrafodelista"/>
        <w:spacing w:before="240" w:line="360" w:lineRule="auto"/>
        <w:ind w:left="709" w:hanging="142"/>
        <w:jc w:val="both"/>
        <w:rPr>
          <w:rFonts w:ascii="Palatino Linotype" w:hAnsi="Palatino Linotype" w:cs="Arial"/>
          <w:sz w:val="24"/>
        </w:rPr>
      </w:pPr>
      <w:r w:rsidRPr="00B41223">
        <w:rPr>
          <w:rFonts w:ascii="Palatino Linotype" w:hAnsi="Palatino Linotype" w:cs="Arial"/>
          <w:b/>
          <w:sz w:val="24"/>
        </w:rPr>
        <w:t>Razones o Motivos de Inconformidad</w:t>
      </w:r>
      <w:r w:rsidRPr="00B41223">
        <w:rPr>
          <w:rFonts w:ascii="Palatino Linotype" w:hAnsi="Palatino Linotype" w:cs="Arial"/>
          <w:sz w:val="24"/>
        </w:rPr>
        <w:t xml:space="preserve">: </w:t>
      </w:r>
    </w:p>
    <w:p w:rsidR="00B41223" w:rsidRPr="00176F32" w:rsidRDefault="00B41223" w:rsidP="00FE38B3">
      <w:pPr>
        <w:pStyle w:val="Prrafodelista"/>
        <w:autoSpaceDE w:val="0"/>
        <w:autoSpaceDN w:val="0"/>
        <w:adjustRightInd w:val="0"/>
        <w:spacing w:after="0" w:line="276" w:lineRule="auto"/>
        <w:ind w:left="993" w:right="758"/>
        <w:contextualSpacing w:val="0"/>
        <w:jc w:val="both"/>
        <w:rPr>
          <w:rFonts w:ascii="Palatino Linotype" w:hAnsi="Palatino Linotype" w:cs="Arial"/>
          <w:i/>
          <w:sz w:val="24"/>
          <w:szCs w:val="24"/>
        </w:rPr>
      </w:pPr>
      <w:r w:rsidRPr="00176F32">
        <w:rPr>
          <w:rFonts w:ascii="Palatino Linotype" w:hAnsi="Palatino Linotype" w:cs="Arial"/>
          <w:i/>
          <w:sz w:val="24"/>
          <w:szCs w:val="24"/>
        </w:rPr>
        <w:t xml:space="preserve">“El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w:t>
      </w:r>
      <w:r w:rsidRPr="00176F32">
        <w:rPr>
          <w:rFonts w:ascii="Palatino Linotype" w:hAnsi="Palatino Linotype" w:cs="Arial"/>
          <w:i/>
          <w:sz w:val="24"/>
          <w:szCs w:val="24"/>
        </w:rPr>
        <w:lastRenderedPageBreak/>
        <w:t xml:space="preserve">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w:t>
      </w:r>
      <w:proofErr w:type="spellStart"/>
      <w:r w:rsidRPr="00176F32">
        <w:rPr>
          <w:rFonts w:ascii="Palatino Linotype" w:hAnsi="Palatino Linotype" w:cs="Arial"/>
          <w:i/>
          <w:sz w:val="24"/>
          <w:szCs w:val="24"/>
        </w:rPr>
        <w:t>Dif</w:t>
      </w:r>
      <w:proofErr w:type="spellEnd"/>
      <w:r w:rsidRPr="00176F32">
        <w:rPr>
          <w:rFonts w:ascii="Palatino Linotype" w:hAnsi="Palatino Linotype" w:cs="Arial"/>
          <w:i/>
          <w:sz w:val="24"/>
          <w:szCs w:val="24"/>
        </w:rPr>
        <w:t xml:space="preserve"> </w:t>
      </w:r>
      <w:proofErr w:type="spellStart"/>
      <w:r w:rsidRPr="00176F32">
        <w:rPr>
          <w:rFonts w:ascii="Palatino Linotype" w:hAnsi="Palatino Linotype" w:cs="Arial"/>
          <w:i/>
          <w:sz w:val="24"/>
          <w:szCs w:val="24"/>
        </w:rPr>
        <w:t>naucalpan</w:t>
      </w:r>
      <w:proofErr w:type="spellEnd"/>
      <w:r w:rsidRPr="00176F32">
        <w:rPr>
          <w:rFonts w:ascii="Palatino Linotype" w:hAnsi="Palatino Linotype" w:cs="Arial"/>
          <w:i/>
          <w:sz w:val="24"/>
          <w:szCs w:val="24"/>
        </w:rPr>
        <w:t xml:space="preserve">, solicítelo al H ayuntamiento de Naucalpan de Juárez. </w:t>
      </w:r>
      <w:proofErr w:type="gramStart"/>
      <w:r w:rsidRPr="00176F32">
        <w:rPr>
          <w:rFonts w:ascii="Palatino Linotype" w:hAnsi="Palatino Linotype" w:cs="Arial"/>
          <w:i/>
          <w:sz w:val="24"/>
          <w:szCs w:val="24"/>
        </w:rPr>
        <w:t>nosotros</w:t>
      </w:r>
      <w:proofErr w:type="gramEnd"/>
      <w:r w:rsidRPr="00176F32">
        <w:rPr>
          <w:rFonts w:ascii="Palatino Linotype" w:hAnsi="Palatino Linotype" w:cs="Arial"/>
          <w:i/>
          <w:sz w:val="24"/>
          <w:szCs w:val="24"/>
        </w:rPr>
        <w:t xml:space="preserve"> solo contenemos información referente a las actividades de "DIF" </w:t>
      </w:r>
      <w:proofErr w:type="spellStart"/>
      <w:r w:rsidRPr="00176F32">
        <w:rPr>
          <w:rFonts w:ascii="Palatino Linotype" w:hAnsi="Palatino Linotype" w:cs="Arial"/>
          <w:i/>
          <w:sz w:val="24"/>
          <w:szCs w:val="24"/>
        </w:rPr>
        <w:t>naucalpan</w:t>
      </w:r>
      <w:proofErr w:type="spellEnd"/>
      <w:r w:rsidRPr="00176F32">
        <w:rPr>
          <w:rFonts w:ascii="Palatino Linotype" w:hAnsi="Palatino Linotype" w:cs="Arial"/>
          <w:i/>
          <w:sz w:val="24"/>
          <w:szCs w:val="24"/>
        </w:rPr>
        <w:t>." SIC Al 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 [</w:t>
      </w:r>
      <w:proofErr w:type="gramStart"/>
      <w:r w:rsidRPr="00176F32">
        <w:rPr>
          <w:rFonts w:ascii="Palatino Linotype" w:hAnsi="Palatino Linotype" w:cs="Arial"/>
          <w:i/>
          <w:sz w:val="24"/>
          <w:szCs w:val="24"/>
        </w:rPr>
        <w:t>sic</w:t>
      </w:r>
      <w:proofErr w:type="gramEnd"/>
      <w:r w:rsidRPr="00176F32">
        <w:rPr>
          <w:rFonts w:ascii="Palatino Linotype" w:hAnsi="Palatino Linotype" w:cs="Arial"/>
          <w:i/>
          <w:sz w:val="24"/>
          <w:szCs w:val="24"/>
        </w:rPr>
        <w:t>]</w:t>
      </w:r>
    </w:p>
    <w:p w:rsidR="00B41223" w:rsidRPr="00FE38B3" w:rsidRDefault="00B41223" w:rsidP="00FE38B3">
      <w:pPr>
        <w:pStyle w:val="Prrafodelista"/>
        <w:autoSpaceDE w:val="0"/>
        <w:autoSpaceDN w:val="0"/>
        <w:adjustRightInd w:val="0"/>
        <w:spacing w:after="0" w:line="240" w:lineRule="auto"/>
        <w:ind w:left="993" w:right="758"/>
        <w:contextualSpacing w:val="0"/>
        <w:jc w:val="both"/>
        <w:rPr>
          <w:rFonts w:ascii="Palatino Linotype" w:hAnsi="Palatino Linotype" w:cs="Arial"/>
          <w:i/>
          <w:sz w:val="6"/>
        </w:rPr>
      </w:pPr>
    </w:p>
    <w:p w:rsidR="008D57F6" w:rsidRDefault="00B41223" w:rsidP="00B41223">
      <w:pPr>
        <w:pStyle w:val="Prrafodelista"/>
        <w:spacing w:before="240" w:line="360" w:lineRule="auto"/>
        <w:ind w:left="567"/>
        <w:jc w:val="both"/>
        <w:rPr>
          <w:rFonts w:ascii="Palatino Linotype" w:hAnsi="Palatino Linotype" w:cs="Arial"/>
          <w:sz w:val="24"/>
          <w:szCs w:val="24"/>
        </w:rPr>
      </w:pPr>
      <w:r>
        <w:rPr>
          <w:rFonts w:ascii="Palatino Linotype" w:hAnsi="Palatino Linotype"/>
          <w:color w:val="000000"/>
        </w:rPr>
        <w:t xml:space="preserve">Adjuntando el archivo denominado “CAPTURAS DE PANTALLA IPOMEX PNT </w:t>
      </w:r>
      <w:r w:rsidRPr="00F63BDC">
        <w:rPr>
          <w:rFonts w:ascii="Palatino Linotype" w:hAnsi="Palatino Linotype"/>
          <w:color w:val="000000"/>
        </w:rPr>
        <w:t>NAUC.docx</w:t>
      </w:r>
      <w:r>
        <w:rPr>
          <w:rFonts w:ascii="Palatino Linotype" w:hAnsi="Palatino Linotype"/>
          <w:color w:val="000000"/>
        </w:rPr>
        <w:t>”</w:t>
      </w:r>
    </w:p>
    <w:p w:rsidR="0058139C" w:rsidRDefault="0058139C" w:rsidP="00532236">
      <w:pPr>
        <w:pStyle w:val="Prrafodelista"/>
        <w:spacing w:before="240" w:after="0" w:line="240" w:lineRule="auto"/>
        <w:ind w:left="360" w:right="49"/>
        <w:jc w:val="both"/>
        <w:rPr>
          <w:rFonts w:ascii="Palatino Linotype" w:hAnsi="Palatino Linotype" w:cs="Arial"/>
          <w:sz w:val="24"/>
          <w:szCs w:val="24"/>
        </w:rPr>
      </w:pPr>
    </w:p>
    <w:p w:rsidR="00D849F2" w:rsidRPr="00532236" w:rsidRDefault="00FE38B3" w:rsidP="0095525C">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F37DA4">
        <w:rPr>
          <w:noProof/>
          <w:lang w:eastAsia="es-MX"/>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291465</wp:posOffset>
            </wp:positionV>
            <wp:extent cx="5111750" cy="2545080"/>
            <wp:effectExtent l="0" t="0" r="0" b="762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1750" cy="2545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223">
        <w:rPr>
          <w:rFonts w:ascii="Palatino Linotype" w:hAnsi="Palatino Linotype" w:cs="Arial"/>
          <w:sz w:val="24"/>
          <w:szCs w:val="24"/>
        </w:rPr>
        <w:t xml:space="preserve">Finalmente, el Sujeto </w:t>
      </w:r>
      <w:r w:rsidR="00D849F2">
        <w:rPr>
          <w:rFonts w:ascii="Palatino Linotype" w:hAnsi="Palatino Linotype" w:cs="Arial"/>
          <w:sz w:val="24"/>
          <w:szCs w:val="24"/>
        </w:rPr>
        <w:t>Obligado</w:t>
      </w:r>
      <w:r w:rsidR="00B41223">
        <w:rPr>
          <w:rFonts w:ascii="Palatino Linotype" w:hAnsi="Palatino Linotype" w:cs="Arial"/>
          <w:sz w:val="24"/>
          <w:szCs w:val="24"/>
        </w:rPr>
        <w:t xml:space="preserve"> </w:t>
      </w:r>
      <w:r w:rsidR="00D849F2">
        <w:rPr>
          <w:rFonts w:ascii="Palatino Linotype" w:hAnsi="Palatino Linotype" w:cs="Arial"/>
          <w:sz w:val="24"/>
          <w:szCs w:val="24"/>
        </w:rPr>
        <w:t xml:space="preserve">en su Informe Justificado indicó lo siguiente: </w:t>
      </w:r>
    </w:p>
    <w:p w:rsidR="00D849F2" w:rsidRPr="00D849F2" w:rsidRDefault="00D849F2" w:rsidP="00532236">
      <w:pPr>
        <w:pStyle w:val="Prrafodelista"/>
        <w:tabs>
          <w:tab w:val="left" w:pos="709"/>
        </w:tabs>
        <w:spacing w:before="240" w:line="360" w:lineRule="auto"/>
        <w:ind w:left="0" w:right="51"/>
        <w:jc w:val="both"/>
        <w:rPr>
          <w:rFonts w:ascii="Palatino Linotype" w:hAnsi="Palatino Linotype" w:cs="Arial"/>
          <w:i/>
          <w:sz w:val="24"/>
          <w:szCs w:val="24"/>
          <w:lang w:val="es-ES"/>
        </w:rPr>
      </w:pPr>
    </w:p>
    <w:p w:rsidR="00FE38B3" w:rsidRDefault="00FE38B3" w:rsidP="00FE38B3">
      <w:pPr>
        <w:pStyle w:val="Prrafodelista"/>
        <w:spacing w:before="240" w:after="0" w:line="360" w:lineRule="auto"/>
        <w:ind w:left="0" w:right="49"/>
        <w:jc w:val="both"/>
        <w:rPr>
          <w:rFonts w:ascii="Palatino Linotype" w:hAnsi="Palatino Linotype" w:cs="Arial"/>
          <w:sz w:val="24"/>
          <w:szCs w:val="24"/>
        </w:rPr>
      </w:pPr>
    </w:p>
    <w:p w:rsidR="00FE38B3" w:rsidRDefault="00FE38B3" w:rsidP="00FE38B3">
      <w:pPr>
        <w:pStyle w:val="Prrafodelista"/>
        <w:spacing w:before="240" w:after="0" w:line="360" w:lineRule="auto"/>
        <w:ind w:left="0" w:right="49"/>
        <w:jc w:val="both"/>
        <w:rPr>
          <w:rFonts w:ascii="Palatino Linotype" w:hAnsi="Palatino Linotype" w:cs="Arial"/>
          <w:sz w:val="24"/>
          <w:szCs w:val="24"/>
        </w:rPr>
      </w:pPr>
    </w:p>
    <w:p w:rsidR="00FE38B3" w:rsidRDefault="00FE38B3" w:rsidP="00FE38B3">
      <w:pPr>
        <w:pStyle w:val="Prrafodelista"/>
        <w:spacing w:before="240" w:after="0" w:line="360" w:lineRule="auto"/>
        <w:ind w:left="0" w:right="49"/>
        <w:jc w:val="both"/>
        <w:rPr>
          <w:rFonts w:ascii="Palatino Linotype" w:hAnsi="Palatino Linotype" w:cs="Arial"/>
          <w:sz w:val="24"/>
          <w:szCs w:val="24"/>
        </w:rPr>
      </w:pPr>
    </w:p>
    <w:p w:rsidR="00FE38B3" w:rsidRDefault="00FE38B3" w:rsidP="00FE38B3">
      <w:pPr>
        <w:pStyle w:val="Prrafodelista"/>
        <w:spacing w:before="240" w:after="0" w:line="360" w:lineRule="auto"/>
        <w:ind w:left="0" w:right="49"/>
        <w:jc w:val="both"/>
        <w:rPr>
          <w:rFonts w:ascii="Palatino Linotype" w:hAnsi="Palatino Linotype" w:cs="Arial"/>
          <w:sz w:val="24"/>
          <w:szCs w:val="24"/>
        </w:rPr>
      </w:pPr>
    </w:p>
    <w:p w:rsidR="00FE38B3" w:rsidRDefault="00FE38B3" w:rsidP="00FE38B3">
      <w:pPr>
        <w:pStyle w:val="Prrafodelista"/>
        <w:spacing w:before="240" w:after="0" w:line="360" w:lineRule="auto"/>
        <w:ind w:left="360" w:right="49"/>
        <w:jc w:val="both"/>
        <w:rPr>
          <w:rFonts w:ascii="Palatino Linotype" w:hAnsi="Palatino Linotype" w:cs="Arial"/>
          <w:i/>
          <w:sz w:val="24"/>
          <w:szCs w:val="24"/>
          <w:lang w:val="es-ES"/>
        </w:rPr>
      </w:pPr>
    </w:p>
    <w:p w:rsidR="00FE38B3" w:rsidRDefault="00FE38B3" w:rsidP="00FE38B3">
      <w:pPr>
        <w:pStyle w:val="Prrafodelista"/>
        <w:spacing w:before="240" w:after="0" w:line="360" w:lineRule="auto"/>
        <w:ind w:left="360" w:right="49"/>
        <w:jc w:val="both"/>
        <w:rPr>
          <w:rFonts w:ascii="Palatino Linotype" w:hAnsi="Palatino Linotype" w:cs="Arial"/>
          <w:i/>
          <w:sz w:val="24"/>
          <w:szCs w:val="24"/>
          <w:lang w:val="es-ES"/>
        </w:rPr>
      </w:pPr>
    </w:p>
    <w:p w:rsidR="00FE38B3" w:rsidRDefault="00FE38B3" w:rsidP="00FE38B3">
      <w:pPr>
        <w:pStyle w:val="Prrafodelista"/>
        <w:spacing w:before="240" w:after="0" w:line="360" w:lineRule="auto"/>
        <w:ind w:left="360" w:right="49"/>
        <w:jc w:val="both"/>
        <w:rPr>
          <w:rFonts w:ascii="Palatino Linotype" w:hAnsi="Palatino Linotype" w:cs="Arial"/>
          <w:i/>
          <w:sz w:val="24"/>
          <w:szCs w:val="24"/>
          <w:lang w:val="es-ES"/>
        </w:rPr>
      </w:pPr>
    </w:p>
    <w:p w:rsidR="00FE38B3" w:rsidRDefault="00FE38B3" w:rsidP="00FE38B3">
      <w:pPr>
        <w:pStyle w:val="Prrafodelista"/>
        <w:spacing w:before="240" w:after="0" w:line="276" w:lineRule="auto"/>
        <w:ind w:left="360" w:right="49"/>
        <w:jc w:val="both"/>
        <w:rPr>
          <w:rFonts w:ascii="Palatino Linotype" w:hAnsi="Palatino Linotype" w:cs="Arial"/>
          <w:i/>
          <w:sz w:val="24"/>
          <w:szCs w:val="24"/>
          <w:lang w:val="es-ES"/>
        </w:rPr>
      </w:pPr>
      <w:r>
        <w:rPr>
          <w:noProof/>
          <w:lang w:eastAsia="es-MX"/>
        </w:rPr>
        <w:lastRenderedPageBreak/>
        <w:drawing>
          <wp:anchor distT="0" distB="0" distL="114300" distR="114300" simplePos="0" relativeHeight="251659264" behindDoc="1" locked="0" layoutInCell="1" allowOverlap="1">
            <wp:simplePos x="0" y="0"/>
            <wp:positionH relativeFrom="column">
              <wp:posOffset>-78997</wp:posOffset>
            </wp:positionH>
            <wp:positionV relativeFrom="paragraph">
              <wp:posOffset>584</wp:posOffset>
            </wp:positionV>
            <wp:extent cx="5592445" cy="2446020"/>
            <wp:effectExtent l="0" t="0" r="8255" b="0"/>
            <wp:wrapTight wrapText="bothSides">
              <wp:wrapPolygon edited="0">
                <wp:start x="0" y="0"/>
                <wp:lineTo x="0" y="21364"/>
                <wp:lineTo x="21558" y="21364"/>
                <wp:lineTo x="215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2445" cy="2446020"/>
                    </a:xfrm>
                    <a:prstGeom prst="rect">
                      <a:avLst/>
                    </a:prstGeom>
                  </pic:spPr>
                </pic:pic>
              </a:graphicData>
            </a:graphic>
            <wp14:sizeRelH relativeFrom="margin">
              <wp14:pctWidth>0</wp14:pctWidth>
            </wp14:sizeRelH>
            <wp14:sizeRelV relativeFrom="margin">
              <wp14:pctHeight>0</wp14:pctHeight>
            </wp14:sizeRelV>
          </wp:anchor>
        </w:drawing>
      </w:r>
    </w:p>
    <w:p w:rsidR="00903F19" w:rsidRPr="00903F19" w:rsidRDefault="00D849F2" w:rsidP="00FE38B3">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 xml:space="preserve">Por consiguiente,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señaló que si bien el Sujeto Obligado </w:t>
      </w:r>
      <w:r w:rsidR="006F6CA9">
        <w:rPr>
          <w:rFonts w:ascii="Palatino Linotype" w:hAnsi="Palatino Linotype" w:cs="Arial"/>
          <w:sz w:val="24"/>
          <w:szCs w:val="24"/>
        </w:rPr>
        <w:t xml:space="preserve">atendió </w:t>
      </w:r>
      <w:r w:rsidR="006F6CA9" w:rsidRPr="006F6CA9">
        <w:rPr>
          <w:rFonts w:ascii="Palatino Linotype" w:hAnsi="Palatino Linotype"/>
          <w:sz w:val="24"/>
          <w:szCs w:val="24"/>
        </w:rPr>
        <w:t xml:space="preserve">a la literalidad de lo solicitado, manifestando que lo que requiere conocer el particular se encuentra </w:t>
      </w:r>
      <w:r w:rsidR="006F6CA9" w:rsidRPr="00FE38B3">
        <w:rPr>
          <w:rFonts w:ascii="Palatino Linotype" w:hAnsi="Palatino Linotype" w:cs="Arial"/>
          <w:sz w:val="24"/>
          <w:szCs w:val="24"/>
        </w:rPr>
        <w:t>en</w:t>
      </w:r>
      <w:r w:rsidR="006F6CA9" w:rsidRPr="006F6CA9">
        <w:rPr>
          <w:rFonts w:ascii="Palatino Linotype" w:hAnsi="Palatino Linotype"/>
          <w:sz w:val="24"/>
          <w:szCs w:val="24"/>
        </w:rPr>
        <w:t xml:space="preserve"> poder de sujeto obligado distinto por lo que sugiere se lo solicite al Ayun</w:t>
      </w:r>
      <w:r w:rsidR="006F6CA9">
        <w:rPr>
          <w:rFonts w:ascii="Palatino Linotype" w:hAnsi="Palatino Linotype"/>
          <w:sz w:val="24"/>
          <w:szCs w:val="24"/>
        </w:rPr>
        <w:t xml:space="preserve">tamiento de Naucalpan de Juárez, también lo es que al remitir su Informe Justificado </w:t>
      </w:r>
      <w:r w:rsidR="00BB3ADD" w:rsidRPr="00BB3ADD">
        <w:rPr>
          <w:rFonts w:ascii="Palatino Linotype" w:hAnsi="Palatino Linotype"/>
          <w:sz w:val="24"/>
          <w:szCs w:val="24"/>
        </w:rPr>
        <w:t>manifestó haber realizado una búsqueda en los padrones de proveedores sin haber encontrado información respecto de las personas morales mencionadas en la solicitud primigenia</w:t>
      </w:r>
      <w:r w:rsidR="00BB3ADD">
        <w:rPr>
          <w:rFonts w:ascii="Palatino Linotype" w:hAnsi="Palatino Linotype"/>
          <w:sz w:val="24"/>
          <w:szCs w:val="24"/>
        </w:rPr>
        <w:t xml:space="preserve"> y con ello, </w:t>
      </w:r>
      <w:r w:rsidR="00903F19" w:rsidRPr="00903F19">
        <w:rPr>
          <w:rFonts w:ascii="Palatino Linotype" w:hAnsi="Palatino Linotype"/>
          <w:sz w:val="24"/>
          <w:szCs w:val="24"/>
        </w:rPr>
        <w:t>aportando elementos nuevos y modificando por lo tanto, la respuesta otorgada en primera instancia.</w:t>
      </w:r>
    </w:p>
    <w:p w:rsidR="003C7A8B" w:rsidRPr="00DF7B12" w:rsidRDefault="003C7A8B" w:rsidP="003C7A8B">
      <w:pPr>
        <w:pStyle w:val="Ttulo1"/>
        <w:numPr>
          <w:ilvl w:val="0"/>
          <w:numId w:val="12"/>
        </w:numPr>
        <w:spacing w:line="360" w:lineRule="auto"/>
        <w:rPr>
          <w:rFonts w:ascii="Palatino Linotype" w:hAnsi="Palatino Linotype"/>
          <w:b/>
          <w:color w:val="auto"/>
          <w:sz w:val="24"/>
          <w:szCs w:val="24"/>
        </w:rPr>
      </w:pPr>
      <w:bookmarkStart w:id="2" w:name="_Toc527372982"/>
      <w:r>
        <w:rPr>
          <w:rFonts w:ascii="Palatino Linotype" w:hAnsi="Palatino Linotype"/>
          <w:b/>
          <w:color w:val="auto"/>
          <w:sz w:val="24"/>
          <w:szCs w:val="24"/>
        </w:rPr>
        <w:t>De la solicitud</w:t>
      </w:r>
      <w:r w:rsidRPr="00DF7B12">
        <w:rPr>
          <w:rFonts w:ascii="Palatino Linotype" w:hAnsi="Palatino Linotype"/>
          <w:b/>
          <w:color w:val="auto"/>
          <w:sz w:val="24"/>
          <w:szCs w:val="24"/>
        </w:rPr>
        <w:t>.</w:t>
      </w:r>
      <w:bookmarkEnd w:id="2"/>
    </w:p>
    <w:p w:rsidR="00802C07" w:rsidRPr="00E34AAC" w:rsidRDefault="00802C07" w:rsidP="0095525C">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 xml:space="preserve">Es </w:t>
      </w:r>
      <w:r w:rsidR="0070685A">
        <w:rPr>
          <w:rFonts w:ascii="Palatino Linotype" w:hAnsi="Palatino Linotype" w:cs="Arial"/>
          <w:sz w:val="24"/>
          <w:szCs w:val="24"/>
        </w:rPr>
        <w:t>importante</w:t>
      </w:r>
      <w:r>
        <w:rPr>
          <w:rFonts w:ascii="Palatino Linotype" w:hAnsi="Palatino Linotype" w:cs="Arial"/>
          <w:sz w:val="24"/>
          <w:szCs w:val="24"/>
        </w:rPr>
        <w:t xml:space="preserve"> realizar un estadio de la </w:t>
      </w:r>
      <w:r w:rsidR="0070685A">
        <w:rPr>
          <w:rFonts w:ascii="Palatino Linotype" w:hAnsi="Palatino Linotype" w:cs="Arial"/>
          <w:sz w:val="24"/>
          <w:szCs w:val="24"/>
        </w:rPr>
        <w:t>solicitud</w:t>
      </w:r>
      <w:r>
        <w:rPr>
          <w:rFonts w:ascii="Palatino Linotype" w:hAnsi="Palatino Linotype" w:cs="Arial"/>
          <w:sz w:val="24"/>
          <w:szCs w:val="24"/>
        </w:rPr>
        <w:t xml:space="preserve"> </w:t>
      </w:r>
      <w:r w:rsidR="0070685A">
        <w:rPr>
          <w:rFonts w:ascii="Palatino Linotype" w:hAnsi="Palatino Linotype" w:cs="Arial"/>
          <w:sz w:val="24"/>
          <w:szCs w:val="24"/>
        </w:rPr>
        <w:t>d</w:t>
      </w:r>
      <w:r>
        <w:rPr>
          <w:rFonts w:ascii="Palatino Linotype" w:hAnsi="Palatino Linotype" w:cs="Arial"/>
          <w:sz w:val="24"/>
          <w:szCs w:val="24"/>
        </w:rPr>
        <w:t xml:space="preserve">e </w:t>
      </w:r>
      <w:r w:rsidR="0070685A">
        <w:rPr>
          <w:rFonts w:ascii="Palatino Linotype" w:hAnsi="Palatino Linotype" w:cs="Arial"/>
          <w:sz w:val="24"/>
          <w:szCs w:val="24"/>
        </w:rPr>
        <w:t>información que nos ocupa</w:t>
      </w:r>
      <w:r>
        <w:rPr>
          <w:rFonts w:ascii="Palatino Linotype" w:hAnsi="Palatino Linotype" w:cs="Arial"/>
          <w:sz w:val="24"/>
          <w:szCs w:val="24"/>
        </w:rPr>
        <w:t xml:space="preserve">, ya que para esta Ponencia y </w:t>
      </w:r>
      <w:r w:rsidR="0070685A">
        <w:rPr>
          <w:rFonts w:ascii="Palatino Linotype" w:hAnsi="Palatino Linotype" w:cs="Arial"/>
          <w:sz w:val="24"/>
          <w:szCs w:val="24"/>
        </w:rPr>
        <w:t>derivado de</w:t>
      </w:r>
      <w:r>
        <w:rPr>
          <w:rFonts w:ascii="Palatino Linotype" w:hAnsi="Palatino Linotype" w:cs="Arial"/>
          <w:sz w:val="24"/>
          <w:szCs w:val="24"/>
        </w:rPr>
        <w:t xml:space="preserve"> su análisis, se aprecia que solicitó dos puntos, siendo estos los siguientes:</w:t>
      </w:r>
    </w:p>
    <w:p w:rsidR="00E34AAC" w:rsidRPr="00802C07" w:rsidRDefault="00E34AAC" w:rsidP="008D0EE8">
      <w:pPr>
        <w:pStyle w:val="Prrafodelista"/>
        <w:spacing w:before="240" w:after="0" w:line="240" w:lineRule="auto"/>
        <w:ind w:left="360" w:right="49"/>
        <w:jc w:val="both"/>
        <w:rPr>
          <w:rFonts w:ascii="Palatino Linotype" w:hAnsi="Palatino Linotype" w:cs="Arial"/>
          <w:i/>
          <w:sz w:val="24"/>
          <w:szCs w:val="24"/>
          <w:lang w:val="es-ES"/>
        </w:rPr>
      </w:pPr>
    </w:p>
    <w:p w:rsidR="00863DA9" w:rsidRPr="00863DA9" w:rsidRDefault="00863DA9" w:rsidP="00863DA9">
      <w:pPr>
        <w:pStyle w:val="Prrafodelista"/>
        <w:numPr>
          <w:ilvl w:val="0"/>
          <w:numId w:val="32"/>
        </w:numPr>
        <w:autoSpaceDE w:val="0"/>
        <w:autoSpaceDN w:val="0"/>
        <w:adjustRightInd w:val="0"/>
        <w:spacing w:after="0" w:line="360" w:lineRule="auto"/>
        <w:ind w:right="758"/>
        <w:contextualSpacing w:val="0"/>
        <w:jc w:val="both"/>
        <w:rPr>
          <w:rFonts w:ascii="Palatino Linotype" w:hAnsi="Palatino Linotype"/>
          <w:color w:val="000000"/>
        </w:rPr>
      </w:pPr>
      <w:r w:rsidRPr="00863DA9">
        <w:rPr>
          <w:rFonts w:ascii="Palatino Linotype" w:hAnsi="Palatino Linotype"/>
          <w:color w:val="000000"/>
        </w:rPr>
        <w:t xml:space="preserve">Relación completa de todos los proveedores, comercializadoras y contratistas con los que el ayuntamiento ha suscrito algún instrumento jurídico durante los ejercicios fiscales 2012, 2013, 2014, 2015, 2016, 2017 y 2018 </w:t>
      </w:r>
    </w:p>
    <w:p w:rsidR="00863DA9" w:rsidRPr="00863DA9" w:rsidRDefault="00863DA9" w:rsidP="00863DA9">
      <w:pPr>
        <w:pStyle w:val="Prrafodelista"/>
        <w:numPr>
          <w:ilvl w:val="0"/>
          <w:numId w:val="32"/>
        </w:numPr>
        <w:autoSpaceDE w:val="0"/>
        <w:autoSpaceDN w:val="0"/>
        <w:adjustRightInd w:val="0"/>
        <w:spacing w:after="0" w:line="360" w:lineRule="auto"/>
        <w:ind w:right="758"/>
        <w:contextualSpacing w:val="0"/>
        <w:jc w:val="both"/>
        <w:rPr>
          <w:rFonts w:ascii="Palatino Linotype" w:hAnsi="Palatino Linotype"/>
          <w:color w:val="000000"/>
        </w:rPr>
      </w:pPr>
      <w:r w:rsidRPr="00863DA9">
        <w:rPr>
          <w:rFonts w:ascii="Palatino Linotype" w:hAnsi="Palatino Linotype"/>
          <w:color w:val="000000"/>
        </w:rPr>
        <w:t xml:space="preserve">Número de contratos que ha suscrito cualquier Unidad Administrativa del ayuntamiento con la empresa “Grupo ARGOG y asociados, S.A. De C.V.” “ARGOG, S.A. </w:t>
      </w:r>
      <w:proofErr w:type="spellStart"/>
      <w:r w:rsidRPr="00863DA9">
        <w:rPr>
          <w:rFonts w:ascii="Palatino Linotype" w:hAnsi="Palatino Linotype"/>
          <w:color w:val="000000"/>
        </w:rPr>
        <w:t>se</w:t>
      </w:r>
      <w:proofErr w:type="spellEnd"/>
      <w:r w:rsidRPr="00863DA9">
        <w:rPr>
          <w:rFonts w:ascii="Palatino Linotype" w:hAnsi="Palatino Linotype"/>
          <w:color w:val="000000"/>
        </w:rPr>
        <w:t xml:space="preserve"> C.V.” o cualquiera que contenga datos de identificación de la empresa; en los ejercicios fiscales 2012, 2013, 2014, 2015, 2016, 2017 y 2018. </w:t>
      </w:r>
    </w:p>
    <w:p w:rsidR="00863DA9" w:rsidRPr="00863DA9" w:rsidRDefault="004E6DFF"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Pr>
          <w:rFonts w:ascii="Palatino Linotype" w:hAnsi="Palatino Linotype"/>
          <w:color w:val="000000"/>
        </w:rPr>
        <w:t>Objeto de cada contrato;</w:t>
      </w:r>
    </w:p>
    <w:p w:rsidR="00863DA9" w:rsidRPr="00863DA9" w:rsidRDefault="004E6DFF"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Pr>
          <w:rFonts w:ascii="Palatino Linotype" w:hAnsi="Palatino Linotype"/>
          <w:color w:val="000000"/>
        </w:rPr>
        <w:t>Monto pagado;</w:t>
      </w:r>
    </w:p>
    <w:p w:rsidR="00863DA9" w:rsidRPr="00863DA9" w:rsidRDefault="00863DA9"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sidRPr="00863DA9">
        <w:rPr>
          <w:rFonts w:ascii="Palatino Linotype" w:hAnsi="Palatino Linotype"/>
          <w:color w:val="000000"/>
        </w:rPr>
        <w:t>V</w:t>
      </w:r>
      <w:r w:rsidR="004E6DFF">
        <w:rPr>
          <w:rFonts w:ascii="Palatino Linotype" w:hAnsi="Palatino Linotype"/>
          <w:color w:val="000000"/>
        </w:rPr>
        <w:t>igencia;</w:t>
      </w:r>
    </w:p>
    <w:p w:rsidR="00863DA9" w:rsidRPr="00863DA9" w:rsidRDefault="00863DA9"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sidRPr="00863DA9">
        <w:rPr>
          <w:rFonts w:ascii="Palatino Linotype" w:hAnsi="Palatino Linotype"/>
          <w:color w:val="000000"/>
        </w:rPr>
        <w:t>Los contratos y sus respectivos anexos té</w:t>
      </w:r>
      <w:r w:rsidR="004E6DFF">
        <w:rPr>
          <w:rFonts w:ascii="Palatino Linotype" w:hAnsi="Palatino Linotype"/>
          <w:color w:val="000000"/>
        </w:rPr>
        <w:t>cnicos;</w:t>
      </w:r>
    </w:p>
    <w:p w:rsidR="00863DA9" w:rsidRPr="00863DA9" w:rsidRDefault="00863DA9"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sidRPr="00863DA9">
        <w:rPr>
          <w:rFonts w:ascii="Palatino Linotype" w:hAnsi="Palatino Linotype"/>
          <w:color w:val="000000"/>
        </w:rPr>
        <w:t xml:space="preserve">Actas de comité, </w:t>
      </w:r>
    </w:p>
    <w:p w:rsidR="00863DA9" w:rsidRPr="00863DA9" w:rsidRDefault="004E6DFF"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sidRPr="00863DA9">
        <w:rPr>
          <w:rFonts w:ascii="Palatino Linotype" w:hAnsi="Palatino Linotype"/>
          <w:color w:val="000000"/>
        </w:rPr>
        <w:t xml:space="preserve">Propuesta </w:t>
      </w:r>
      <w:r w:rsidR="00863DA9" w:rsidRPr="00863DA9">
        <w:rPr>
          <w:rFonts w:ascii="Palatino Linotype" w:hAnsi="Palatino Linotype"/>
          <w:color w:val="000000"/>
        </w:rPr>
        <w:t xml:space="preserve">técnica y económica del proveedor; y, </w:t>
      </w:r>
    </w:p>
    <w:p w:rsidR="00863DA9" w:rsidRPr="00863DA9" w:rsidRDefault="004E6DFF"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Pr>
          <w:rFonts w:ascii="Palatino Linotype" w:hAnsi="Palatino Linotype"/>
          <w:color w:val="000000"/>
        </w:rPr>
        <w:t xml:space="preserve">En su caso </w:t>
      </w:r>
      <w:r w:rsidR="00863DA9" w:rsidRPr="00863DA9">
        <w:rPr>
          <w:rFonts w:ascii="Palatino Linotype" w:hAnsi="Palatino Linotype"/>
          <w:color w:val="000000"/>
        </w:rPr>
        <w:t xml:space="preserve">estudio de mercado. </w:t>
      </w:r>
    </w:p>
    <w:p w:rsidR="00863DA9" w:rsidRPr="00863DA9" w:rsidRDefault="004E6DFF" w:rsidP="004E6DFF">
      <w:pPr>
        <w:pStyle w:val="Prrafodelista"/>
        <w:numPr>
          <w:ilvl w:val="0"/>
          <w:numId w:val="33"/>
        </w:numPr>
        <w:autoSpaceDE w:val="0"/>
        <w:autoSpaceDN w:val="0"/>
        <w:adjustRightInd w:val="0"/>
        <w:spacing w:after="0" w:line="360" w:lineRule="auto"/>
        <w:ind w:left="1985" w:right="758"/>
        <w:contextualSpacing w:val="0"/>
        <w:jc w:val="both"/>
        <w:rPr>
          <w:rFonts w:ascii="Palatino Linotype" w:hAnsi="Palatino Linotype"/>
          <w:color w:val="000000"/>
        </w:rPr>
      </w:pPr>
      <w:r>
        <w:rPr>
          <w:rFonts w:ascii="Palatino Linotype" w:hAnsi="Palatino Linotype"/>
          <w:color w:val="000000"/>
        </w:rPr>
        <w:t>Sin embargo, en caso</w:t>
      </w:r>
      <w:r w:rsidR="00863DA9" w:rsidRPr="00863DA9">
        <w:rPr>
          <w:rFonts w:ascii="Palatino Linotype" w:hAnsi="Palatino Linotype"/>
          <w:color w:val="000000"/>
        </w:rPr>
        <w:t xml:space="preserve"> de que hubiera excepciones a licitación pública,</w:t>
      </w:r>
      <w:r>
        <w:rPr>
          <w:rFonts w:ascii="Palatino Linotype" w:hAnsi="Palatino Linotype"/>
          <w:color w:val="000000"/>
        </w:rPr>
        <w:t xml:space="preserve"> </w:t>
      </w:r>
      <w:r w:rsidR="00863DA9" w:rsidRPr="00863DA9">
        <w:rPr>
          <w:rFonts w:ascii="Palatino Linotype" w:hAnsi="Palatino Linotype"/>
          <w:color w:val="000000"/>
        </w:rPr>
        <w:t>las actas u homólogos donde se compruebe la razón por la cual se optó por ese tipo de procedimiento.</w:t>
      </w:r>
    </w:p>
    <w:p w:rsidR="00E34AAC" w:rsidRDefault="00E34AAC" w:rsidP="00E34AAC">
      <w:pPr>
        <w:pStyle w:val="Ttulo1"/>
        <w:numPr>
          <w:ilvl w:val="0"/>
          <w:numId w:val="12"/>
        </w:numPr>
        <w:spacing w:line="360" w:lineRule="auto"/>
        <w:rPr>
          <w:rFonts w:ascii="Palatino Linotype" w:hAnsi="Palatino Linotype"/>
          <w:b/>
          <w:color w:val="auto"/>
          <w:sz w:val="24"/>
          <w:szCs w:val="24"/>
        </w:rPr>
      </w:pPr>
      <w:bookmarkStart w:id="3" w:name="_Toc527372983"/>
      <w:r>
        <w:rPr>
          <w:rFonts w:ascii="Palatino Linotype" w:hAnsi="Palatino Linotype"/>
          <w:b/>
          <w:color w:val="auto"/>
          <w:sz w:val="24"/>
          <w:szCs w:val="24"/>
        </w:rPr>
        <w:t xml:space="preserve">De la </w:t>
      </w:r>
      <w:r w:rsidRPr="00E34AAC">
        <w:rPr>
          <w:rFonts w:ascii="Palatino Linotype" w:hAnsi="Palatino Linotype"/>
          <w:b/>
          <w:color w:val="auto"/>
          <w:sz w:val="24"/>
          <w:szCs w:val="24"/>
        </w:rPr>
        <w:t>suplencia de la queja</w:t>
      </w:r>
      <w:r w:rsidRPr="00DF7B12">
        <w:rPr>
          <w:rFonts w:ascii="Palatino Linotype" w:hAnsi="Palatino Linotype"/>
          <w:b/>
          <w:color w:val="auto"/>
          <w:sz w:val="24"/>
          <w:szCs w:val="24"/>
        </w:rPr>
        <w:t>.</w:t>
      </w:r>
      <w:bookmarkEnd w:id="3"/>
    </w:p>
    <w:p w:rsidR="00E34AAC" w:rsidRPr="00177AA7" w:rsidRDefault="00E34AAC" w:rsidP="00177AA7">
      <w:pPr>
        <w:spacing w:line="240" w:lineRule="auto"/>
        <w:rPr>
          <w:sz w:val="2"/>
        </w:rPr>
      </w:pPr>
    </w:p>
    <w:p w:rsidR="00E34AAC" w:rsidRDefault="0046491C" w:rsidP="00DF7B12">
      <w:pPr>
        <w:pStyle w:val="Prrafodelista"/>
        <w:numPr>
          <w:ilvl w:val="0"/>
          <w:numId w:val="1"/>
        </w:numPr>
        <w:spacing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Derivado de </w:t>
      </w:r>
      <w:r w:rsidRPr="00546812">
        <w:rPr>
          <w:rFonts w:ascii="Palatino Linotype" w:eastAsia="Times New Roman" w:hAnsi="Palatino Linotype" w:cs="Times New Roman"/>
          <w:color w:val="000000"/>
          <w:sz w:val="24"/>
          <w:szCs w:val="24"/>
          <w:lang w:val="es-ES" w:eastAsia="es-ES"/>
        </w:rPr>
        <w:t>lo</w:t>
      </w:r>
      <w:r w:rsidRPr="00546812">
        <w:rPr>
          <w:rFonts w:ascii="Palatino Linotype" w:hAnsi="Palatino Linotype" w:cs="Arial"/>
          <w:sz w:val="24"/>
          <w:szCs w:val="24"/>
        </w:rPr>
        <w:t xml:space="preserve"> transcrito con anterioridad, considero que la</w:t>
      </w:r>
      <w:r w:rsidR="00E34AAC">
        <w:rPr>
          <w:rFonts w:ascii="Palatino Linotype" w:hAnsi="Palatino Linotype" w:cs="Arial"/>
          <w:sz w:val="24"/>
          <w:szCs w:val="24"/>
        </w:rPr>
        <w:t xml:space="preserve"> falta de incorporación de la </w:t>
      </w:r>
      <w:r w:rsidR="000A42F6" w:rsidRPr="00546812">
        <w:rPr>
          <w:rFonts w:ascii="Palatino Linotype" w:hAnsi="Palatino Linotype" w:cs="Arial"/>
          <w:sz w:val="24"/>
          <w:szCs w:val="24"/>
        </w:rPr>
        <w:t>suplencia de la queja</w:t>
      </w:r>
      <w:r w:rsidR="000A42F6">
        <w:rPr>
          <w:rFonts w:ascii="Palatino Linotype" w:hAnsi="Palatino Linotype" w:cs="Arial"/>
          <w:sz w:val="24"/>
          <w:szCs w:val="24"/>
        </w:rPr>
        <w:t xml:space="preserve"> establecida  </w:t>
      </w:r>
      <w:r w:rsidR="000A42F6" w:rsidRPr="003A230F">
        <w:rPr>
          <w:rFonts w:ascii="Palatino Linotype" w:hAnsi="Palatino Linotype" w:cs="Arial"/>
          <w:sz w:val="24"/>
          <w:szCs w:val="24"/>
        </w:rPr>
        <w:t xml:space="preserve">en los artículos 13 y 181 de </w:t>
      </w:r>
      <w:r w:rsidR="000A42F6" w:rsidRPr="003A230F">
        <w:rPr>
          <w:rFonts w:ascii="Palatino Linotype" w:hAnsi="Palatino Linotype" w:cs="Arial"/>
          <w:sz w:val="24"/>
          <w:szCs w:val="24"/>
        </w:rPr>
        <w:lastRenderedPageBreak/>
        <w:t>la Ley de Transparencia y Acceso a la Información Pública del Estado de México y Municipios</w:t>
      </w:r>
      <w:r w:rsidR="000A42F6">
        <w:rPr>
          <w:rFonts w:ascii="Palatino Linotype" w:hAnsi="Palatino Linotype" w:cs="Arial"/>
          <w:sz w:val="24"/>
          <w:szCs w:val="24"/>
        </w:rPr>
        <w:t xml:space="preserve"> que a la letra señalan: </w:t>
      </w:r>
    </w:p>
    <w:p w:rsidR="00972931" w:rsidRPr="000E6CC2" w:rsidRDefault="000E6CC2" w:rsidP="00FE38B3">
      <w:pPr>
        <w:spacing w:after="0" w:line="276" w:lineRule="auto"/>
        <w:ind w:left="1134" w:right="618"/>
        <w:jc w:val="both"/>
        <w:rPr>
          <w:rFonts w:ascii="Palatino Linotype" w:hAnsi="Palatino Linotype" w:cs="Arial"/>
          <w:i/>
          <w:sz w:val="24"/>
        </w:rPr>
      </w:pPr>
      <w:r>
        <w:rPr>
          <w:rFonts w:ascii="Palatino Linotype" w:hAnsi="Palatino Linotype" w:cs="Arial"/>
          <w:b/>
          <w:i/>
          <w:sz w:val="24"/>
        </w:rPr>
        <w:t>“</w:t>
      </w:r>
      <w:r w:rsidRPr="000E6CC2">
        <w:rPr>
          <w:rFonts w:ascii="Palatino Linotype" w:hAnsi="Palatino Linotype" w:cs="Arial"/>
          <w:b/>
          <w:i/>
          <w:sz w:val="24"/>
        </w:rPr>
        <w:t>Artículo 13.</w:t>
      </w:r>
      <w:r w:rsidRPr="000E6CC2">
        <w:rPr>
          <w:rFonts w:ascii="Palatino Linotype" w:hAnsi="Palatino Linotype" w:cs="Arial"/>
          <w:i/>
          <w:sz w:val="24"/>
        </w:rPr>
        <w:t xml:space="preserve"> El Instituto, en el ámbito de sus atribuciones, </w:t>
      </w:r>
      <w:r w:rsidRPr="000E6CC2">
        <w:rPr>
          <w:rFonts w:ascii="Palatino Linotype" w:hAnsi="Palatino Linotype" w:cs="Arial"/>
          <w:i/>
          <w:sz w:val="24"/>
          <w:u w:val="single"/>
        </w:rPr>
        <w:t>deberá suplir cualquier deficiencia para garantizar el ejercicio del derecho de acceso a la información</w:t>
      </w:r>
      <w:r w:rsidRPr="000E6CC2">
        <w:rPr>
          <w:rFonts w:ascii="Palatino Linotype" w:hAnsi="Palatino Linotype" w:cs="Arial"/>
          <w:i/>
          <w:sz w:val="24"/>
        </w:rPr>
        <w:t>.</w:t>
      </w:r>
    </w:p>
    <w:p w:rsidR="000E6CC2" w:rsidRPr="000E6CC2" w:rsidRDefault="000E6CC2" w:rsidP="00FE38B3">
      <w:pPr>
        <w:spacing w:after="0" w:line="276" w:lineRule="auto"/>
        <w:ind w:left="1134" w:right="618"/>
        <w:jc w:val="both"/>
        <w:rPr>
          <w:rFonts w:ascii="Palatino Linotype" w:hAnsi="Palatino Linotype" w:cs="Arial"/>
          <w:i/>
          <w:sz w:val="24"/>
        </w:rPr>
      </w:pPr>
      <w:r w:rsidRPr="000E6CC2">
        <w:rPr>
          <w:rFonts w:ascii="Palatino Linotype" w:hAnsi="Palatino Linotype" w:cs="Arial"/>
          <w:b/>
          <w:i/>
          <w:sz w:val="24"/>
        </w:rPr>
        <w:t>Artículo 181.</w:t>
      </w:r>
      <w:r w:rsidRPr="000E6CC2">
        <w:rPr>
          <w:rFonts w:ascii="Palatino Linotype" w:hAnsi="Palatino Linotype" w:cs="Arial"/>
          <w:i/>
          <w:sz w:val="24"/>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0E6CC2" w:rsidRPr="000E6CC2" w:rsidRDefault="000E6CC2" w:rsidP="00FE38B3">
      <w:pPr>
        <w:spacing w:after="0" w:line="276" w:lineRule="auto"/>
        <w:ind w:left="1134" w:right="618"/>
        <w:jc w:val="both"/>
        <w:rPr>
          <w:rFonts w:ascii="Palatino Linotype" w:hAnsi="Palatino Linotype" w:cs="Arial"/>
          <w:i/>
          <w:sz w:val="24"/>
        </w:rPr>
      </w:pPr>
      <w:r w:rsidRPr="000E6CC2">
        <w:rPr>
          <w:rFonts w:ascii="Palatino Linotype" w:hAnsi="Palatino Linotype" w:cs="Arial"/>
          <w:i/>
          <w:sz w:val="24"/>
        </w:rPr>
        <w:t>La prevención tendrá el efecto de interrumpir el plazo que tiene el Instituto para resolver el recurso, por lo que comenzará a computarse a partir del día siguiente a su desahogo. No podrá prevenirse por el nombre que proporcione el solicitante.</w:t>
      </w:r>
    </w:p>
    <w:p w:rsidR="000E6CC2" w:rsidRPr="000E6CC2" w:rsidRDefault="000E6CC2" w:rsidP="00FE38B3">
      <w:pPr>
        <w:spacing w:after="0" w:line="276" w:lineRule="auto"/>
        <w:ind w:left="1134" w:right="618"/>
        <w:jc w:val="both"/>
        <w:rPr>
          <w:rFonts w:ascii="Palatino Linotype" w:hAnsi="Palatino Linotype" w:cs="Arial"/>
          <w:i/>
          <w:sz w:val="24"/>
        </w:rPr>
      </w:pPr>
      <w:r w:rsidRPr="000E6CC2">
        <w:rPr>
          <w:rFonts w:ascii="Palatino Linotype" w:hAnsi="Palatino Linotype" w:cs="Arial"/>
          <w:i/>
          <w:sz w:val="24"/>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w:t>
      </w:r>
    </w:p>
    <w:p w:rsidR="000E6CC2" w:rsidRPr="00920CC4" w:rsidRDefault="000E6CC2" w:rsidP="00FE38B3">
      <w:pPr>
        <w:spacing w:after="0" w:line="276" w:lineRule="auto"/>
        <w:ind w:left="1134" w:right="618"/>
        <w:jc w:val="both"/>
        <w:rPr>
          <w:rFonts w:ascii="Palatino Linotype" w:hAnsi="Palatino Linotype" w:cs="Arial"/>
          <w:i/>
          <w:sz w:val="24"/>
          <w:u w:val="single"/>
        </w:rPr>
      </w:pPr>
      <w:r w:rsidRPr="00920CC4">
        <w:rPr>
          <w:rFonts w:ascii="Palatino Linotype" w:hAnsi="Palatino Linotype" w:cs="Arial"/>
          <w:i/>
          <w:sz w:val="24"/>
          <w:u w:val="single"/>
        </w:rPr>
        <w:t>Durante el procedimiento deberá aplicarse la suplencia de la queja a favor del recurrente, sin cambiar los hechos expuestos, asegurándose de que las partes puedan presentar, de manera oral o escrita, los argumentos que funden y motiven sus pretensiones.</w:t>
      </w:r>
    </w:p>
    <w:p w:rsidR="000E6CC2" w:rsidRDefault="000E6CC2" w:rsidP="00FE38B3">
      <w:pPr>
        <w:spacing w:after="0" w:line="276" w:lineRule="auto"/>
        <w:ind w:left="1134" w:right="618"/>
        <w:jc w:val="both"/>
        <w:rPr>
          <w:rFonts w:ascii="Palatino Linotype" w:hAnsi="Palatino Linotype" w:cs="Arial"/>
          <w:i/>
          <w:sz w:val="24"/>
        </w:rPr>
      </w:pPr>
      <w:r w:rsidRPr="000E6CC2">
        <w:rPr>
          <w:rFonts w:ascii="Palatino Linotype" w:hAnsi="Palatino Linotype" w:cs="Arial"/>
          <w:i/>
          <w:sz w:val="24"/>
        </w:rPr>
        <w:t>Para el caso de interposición del recurso de revisión a través de la Plataforma Nacional o la plataforma que para tales efectos habilite el Instituto, éste podrá solicitar al particular subsane las deficiencias por ese medio.</w:t>
      </w:r>
      <w:r w:rsidR="00920CC4">
        <w:rPr>
          <w:rFonts w:ascii="Palatino Linotype" w:hAnsi="Palatino Linotype" w:cs="Arial"/>
          <w:i/>
          <w:sz w:val="24"/>
        </w:rPr>
        <w:t>”</w:t>
      </w:r>
    </w:p>
    <w:p w:rsidR="000E6CC2" w:rsidRDefault="00920CC4" w:rsidP="00FE38B3">
      <w:pPr>
        <w:spacing w:after="0" w:line="276" w:lineRule="auto"/>
        <w:ind w:left="1134" w:right="618"/>
        <w:jc w:val="both"/>
        <w:rPr>
          <w:rFonts w:ascii="Palatino Linotype" w:hAnsi="Palatino Linotype" w:cs="Arial"/>
          <w:i/>
          <w:sz w:val="24"/>
        </w:rPr>
      </w:pPr>
      <w:r>
        <w:rPr>
          <w:rFonts w:ascii="Palatino Linotype" w:hAnsi="Palatino Linotype" w:cs="Arial"/>
          <w:i/>
          <w:sz w:val="24"/>
        </w:rPr>
        <w:lastRenderedPageBreak/>
        <w:t xml:space="preserve">(Énfasis añadido) </w:t>
      </w:r>
    </w:p>
    <w:p w:rsidR="008D0EE8" w:rsidRPr="00176F32" w:rsidRDefault="008D0EE8" w:rsidP="00176F32">
      <w:pPr>
        <w:spacing w:after="0" w:line="240" w:lineRule="auto"/>
        <w:ind w:left="1134" w:right="618"/>
        <w:jc w:val="both"/>
        <w:rPr>
          <w:rFonts w:ascii="Palatino Linotype" w:hAnsi="Palatino Linotype" w:cs="Arial"/>
          <w:i/>
          <w:sz w:val="10"/>
        </w:rPr>
      </w:pPr>
    </w:p>
    <w:p w:rsidR="000A42F6" w:rsidRPr="000E6CC2" w:rsidRDefault="00544EC2" w:rsidP="00544EC2">
      <w:pPr>
        <w:pStyle w:val="Prrafodelista"/>
        <w:numPr>
          <w:ilvl w:val="0"/>
          <w:numId w:val="1"/>
        </w:numPr>
        <w:spacing w:after="0" w:line="360" w:lineRule="auto"/>
        <w:ind w:right="49"/>
        <w:jc w:val="both"/>
        <w:rPr>
          <w:rFonts w:ascii="Bookman Old Style" w:hAnsi="Bookman Old Style" w:cs="Bookman Old Style"/>
          <w:sz w:val="20"/>
          <w:szCs w:val="20"/>
        </w:rPr>
      </w:pPr>
      <w:r>
        <w:rPr>
          <w:rFonts w:ascii="Palatino Linotype" w:hAnsi="Palatino Linotype" w:cs="Arial"/>
          <w:sz w:val="24"/>
          <w:szCs w:val="24"/>
        </w:rPr>
        <w:t>A</w:t>
      </w:r>
      <w:r w:rsidR="000A42F6" w:rsidRPr="00546812">
        <w:rPr>
          <w:rFonts w:ascii="Palatino Linotype" w:hAnsi="Palatino Linotype" w:cs="Arial"/>
          <w:sz w:val="24"/>
          <w:szCs w:val="24"/>
        </w:rPr>
        <w:t xml:space="preserve">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000A42F6" w:rsidRPr="00546812">
        <w:rPr>
          <w:rFonts w:ascii="Palatino Linotype" w:hAnsi="Palatino Linotype" w:cs="Arial"/>
          <w:sz w:val="24"/>
          <w:szCs w:val="24"/>
        </w:rPr>
        <w:t>procedibilidad</w:t>
      </w:r>
      <w:proofErr w:type="spellEnd"/>
      <w:r w:rsidR="000A42F6" w:rsidRPr="00546812">
        <w:rPr>
          <w:rFonts w:ascii="Palatino Linotype" w:hAnsi="Palatino Linotype" w:cs="Arial"/>
          <w:sz w:val="24"/>
          <w:szCs w:val="24"/>
        </w:rPr>
        <w:t>, ya que en todo momento nos encontramos ante un derecho más alto que, puede considerarse en los siguientes términos:</w:t>
      </w:r>
    </w:p>
    <w:p w:rsidR="000A42F6" w:rsidRPr="001455FC" w:rsidRDefault="000A42F6" w:rsidP="00FE38B3">
      <w:pPr>
        <w:spacing w:after="0" w:line="276" w:lineRule="auto"/>
        <w:ind w:left="1134" w:right="618"/>
        <w:jc w:val="both"/>
        <w:rPr>
          <w:rFonts w:ascii="Palatino Linotype" w:hAnsi="Palatino Linotype" w:cs="Arial"/>
          <w:i/>
          <w:sz w:val="24"/>
        </w:rPr>
      </w:pPr>
      <w:r w:rsidRPr="001455FC">
        <w:rPr>
          <w:rFonts w:ascii="Palatino Linotype" w:hAnsi="Palatino Linotype" w:cs="Arial"/>
          <w:i/>
          <w:sz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455FC">
        <w:rPr>
          <w:rFonts w:ascii="Palatino Linotype" w:hAnsi="Palatino Linotype" w:cs="Arial"/>
          <w:i/>
          <w:sz w:val="24"/>
        </w:rPr>
        <w:t>ocasionalidad</w:t>
      </w:r>
      <w:proofErr w:type="spellEnd"/>
      <w:r w:rsidRPr="001455FC">
        <w:rPr>
          <w:rFonts w:ascii="Palatino Linotype" w:hAnsi="Palatino Linotype" w:cs="Arial"/>
          <w:i/>
          <w:sz w:val="24"/>
        </w:rPr>
        <w:t xml:space="preserve"> de las presiones sociales que se ejercen sobre el mismo”.</w:t>
      </w:r>
      <w:r w:rsidRPr="001455FC">
        <w:rPr>
          <w:rStyle w:val="Refdenotaalpie"/>
          <w:rFonts w:ascii="Palatino Linotype" w:hAnsi="Palatino Linotype" w:cs="Arial"/>
          <w:i/>
          <w:sz w:val="24"/>
        </w:rPr>
        <w:footnoteReference w:id="1"/>
      </w:r>
    </w:p>
    <w:p w:rsidR="00544EC2" w:rsidRPr="00176F32" w:rsidRDefault="00544EC2" w:rsidP="00544EC2">
      <w:pPr>
        <w:pStyle w:val="Prrafodelista"/>
        <w:numPr>
          <w:ilvl w:val="0"/>
          <w:numId w:val="1"/>
        </w:numPr>
        <w:spacing w:before="240" w:after="240" w:line="360" w:lineRule="auto"/>
        <w:ind w:right="49"/>
        <w:jc w:val="both"/>
        <w:rPr>
          <w:rFonts w:ascii="Palatino Linotype" w:eastAsia="MS Mincho" w:hAnsi="Palatino Linotype" w:cs="Times New Roman"/>
          <w:sz w:val="24"/>
          <w:lang w:val="es-ES_tradnl"/>
        </w:rPr>
      </w:pPr>
      <w:r w:rsidRPr="00176F32">
        <w:rPr>
          <w:rFonts w:ascii="Palatino Linotype" w:eastAsia="MS Mincho" w:hAnsi="Palatino Linotype" w:cs="Times New Roman"/>
          <w:sz w:val="24"/>
          <w:lang w:val="es-ES_tradnl"/>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w:t>
      </w:r>
      <w:r w:rsidRPr="00176F32">
        <w:rPr>
          <w:rFonts w:ascii="Palatino Linotype" w:eastAsia="MS Mincho" w:hAnsi="Palatino Linotype" w:cs="Times New Roman"/>
          <w:sz w:val="24"/>
          <w:lang w:val="es-ES_tradnl"/>
        </w:rPr>
        <w:lastRenderedPageBreak/>
        <w:t>Ley de Transparencia y Acceso a la Información Pública del Estado de México y Municipios es la prerrogativa de las personas para buscar, difundir, investigar, recabar, recibir y solicitar información pública, sirve de apoyo la siguiente tesis</w:t>
      </w:r>
      <w:r w:rsidR="006B4F08" w:rsidRPr="00176F32">
        <w:rPr>
          <w:rFonts w:ascii="Palatino Linotype" w:eastAsia="MS Mincho" w:hAnsi="Palatino Linotype" w:cs="Times New Roman"/>
          <w:sz w:val="24"/>
          <w:lang w:val="es-ES_tradnl"/>
        </w:rPr>
        <w:t xml:space="preserve">: </w:t>
      </w:r>
    </w:p>
    <w:p w:rsidR="006B4F08" w:rsidRPr="006B4F08" w:rsidRDefault="006B4F08" w:rsidP="00FE38B3">
      <w:pPr>
        <w:spacing w:after="0" w:line="276" w:lineRule="auto"/>
        <w:ind w:left="1134" w:right="618"/>
        <w:jc w:val="both"/>
        <w:rPr>
          <w:rFonts w:ascii="Palatino Linotype" w:hAnsi="Palatino Linotype" w:cs="Arial"/>
          <w:i/>
          <w:sz w:val="24"/>
        </w:rPr>
      </w:pPr>
      <w:r w:rsidRPr="006B4F08">
        <w:rPr>
          <w:rFonts w:ascii="Palatino Linotype" w:hAnsi="Palatino Linotype" w:cs="Arial"/>
          <w:i/>
          <w:sz w:val="24"/>
        </w:rPr>
        <w:t>“SUPLENCIA DE LA QUEJA DEFICIENTE. SU PROCEDENCIA EN OTRAS MATERIAS, AUN A FALTA DE CONCEPTO DE VIOLACIÓN O AGRAVIO, CUANDO SE ADVIERTA VIOLACIÓN GRAVE Y MANIFIESTA DE LA LEY. 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p>
    <w:p w:rsidR="00A80A1A" w:rsidRDefault="0046491C" w:rsidP="006B4F08">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sidRPr="00F65CCD">
        <w:rPr>
          <w:rFonts w:ascii="Palatino Linotype" w:hAnsi="Palatino Linotype" w:cs="Arial"/>
          <w:sz w:val="24"/>
          <w:szCs w:val="24"/>
        </w:rPr>
        <w:t>En el presente asunto, es de señalar que del análisis hecho a la resolución en comento</w:t>
      </w:r>
      <w:r w:rsidRPr="00F65CCD">
        <w:rPr>
          <w:rFonts w:ascii="Palatino Linotype" w:eastAsia="Calibri" w:hAnsi="Palatino Linotype" w:cs="Times New Roman"/>
          <w:sz w:val="24"/>
          <w:szCs w:val="24"/>
          <w:lang w:val="es-ES" w:eastAsia="es-ES"/>
        </w:rPr>
        <w:t xml:space="preserve">, no se discute que el </w:t>
      </w:r>
      <w:r w:rsidRPr="00F65CCD">
        <w:rPr>
          <w:rFonts w:ascii="Palatino Linotype" w:eastAsia="Calibri" w:hAnsi="Palatino Linotype" w:cs="Times New Roman"/>
          <w:b/>
          <w:sz w:val="24"/>
          <w:szCs w:val="24"/>
          <w:lang w:val="es-ES" w:eastAsia="es-ES"/>
        </w:rPr>
        <w:t>SUJETO OBLIGADO</w:t>
      </w:r>
      <w:r w:rsidRPr="00F65CCD">
        <w:rPr>
          <w:rFonts w:ascii="Palatino Linotype" w:eastAsia="Calibri" w:hAnsi="Palatino Linotype" w:cs="Times New Roman"/>
          <w:sz w:val="24"/>
          <w:szCs w:val="24"/>
          <w:lang w:val="es-ES" w:eastAsia="es-ES"/>
        </w:rPr>
        <w:t xml:space="preserve"> ha dado respuesta a la solicitud de información</w:t>
      </w:r>
      <w:r w:rsidR="00260D6C" w:rsidRPr="00F65CCD">
        <w:rPr>
          <w:rFonts w:ascii="Palatino Linotype" w:eastAsia="Calibri" w:hAnsi="Palatino Linotype" w:cs="Times New Roman"/>
          <w:sz w:val="24"/>
          <w:szCs w:val="24"/>
          <w:lang w:val="es-ES" w:eastAsia="es-ES"/>
        </w:rPr>
        <w:t xml:space="preserve"> en lo particular</w:t>
      </w:r>
      <w:r w:rsidRPr="00F65CCD">
        <w:rPr>
          <w:rFonts w:ascii="Palatino Linotype" w:eastAsia="Calibri" w:hAnsi="Palatino Linotype" w:cs="Times New Roman"/>
          <w:sz w:val="24"/>
          <w:szCs w:val="24"/>
          <w:lang w:val="es-ES" w:eastAsia="es-ES"/>
        </w:rPr>
        <w:t>, t</w:t>
      </w:r>
      <w:r w:rsidR="00260D6C" w:rsidRPr="00F65CCD">
        <w:rPr>
          <w:rFonts w:ascii="Palatino Linotype" w:eastAsia="Calibri" w:hAnsi="Palatino Linotype" w:cs="Times New Roman"/>
          <w:sz w:val="24"/>
          <w:szCs w:val="24"/>
          <w:lang w:val="es-ES" w:eastAsia="es-ES"/>
        </w:rPr>
        <w:t>an es así que al analizar la respuesta emitida</w:t>
      </w:r>
      <w:r w:rsidR="006B4F08">
        <w:rPr>
          <w:rFonts w:ascii="Palatino Linotype" w:eastAsia="Calibri" w:hAnsi="Palatino Linotype" w:cs="Times New Roman"/>
          <w:sz w:val="24"/>
          <w:szCs w:val="24"/>
          <w:lang w:val="es-ES" w:eastAsia="es-ES"/>
        </w:rPr>
        <w:t xml:space="preserve"> en su Informe Justificado</w:t>
      </w:r>
      <w:r w:rsidR="00260D6C" w:rsidRPr="00F65CCD">
        <w:rPr>
          <w:rFonts w:ascii="Palatino Linotype" w:eastAsia="Calibri" w:hAnsi="Palatino Linotype" w:cs="Times New Roman"/>
          <w:sz w:val="24"/>
          <w:szCs w:val="24"/>
          <w:lang w:val="es-ES" w:eastAsia="es-ES"/>
        </w:rPr>
        <w:t xml:space="preserve"> se concluyó que colmó</w:t>
      </w:r>
      <w:r w:rsidR="00546812" w:rsidRPr="00F65CCD">
        <w:rPr>
          <w:rFonts w:ascii="Palatino Linotype" w:eastAsia="Calibri" w:hAnsi="Palatino Linotype" w:cs="Times New Roman"/>
          <w:sz w:val="24"/>
          <w:szCs w:val="24"/>
          <w:lang w:val="es-ES" w:eastAsia="es-ES"/>
        </w:rPr>
        <w:t xml:space="preserve"> </w:t>
      </w:r>
      <w:r w:rsidR="006B4F08">
        <w:rPr>
          <w:rFonts w:ascii="Palatino Linotype" w:eastAsia="Calibri" w:hAnsi="Palatino Linotype" w:cs="Times New Roman"/>
          <w:sz w:val="24"/>
          <w:szCs w:val="24"/>
          <w:lang w:val="es-ES" w:eastAsia="es-ES"/>
        </w:rPr>
        <w:t>“</w:t>
      </w:r>
      <w:r w:rsidR="00546812" w:rsidRPr="00F65CCD">
        <w:rPr>
          <w:rFonts w:ascii="Palatino Linotype" w:eastAsia="Calibri" w:hAnsi="Palatino Linotype" w:cs="Times New Roman"/>
          <w:sz w:val="24"/>
          <w:szCs w:val="24"/>
          <w:lang w:val="es-ES" w:eastAsia="es-ES"/>
        </w:rPr>
        <w:t>parcialmente</w:t>
      </w:r>
      <w:r w:rsidR="006B4F08">
        <w:rPr>
          <w:rFonts w:ascii="Palatino Linotype" w:eastAsia="Calibri" w:hAnsi="Palatino Linotype" w:cs="Times New Roman"/>
          <w:sz w:val="24"/>
          <w:szCs w:val="24"/>
          <w:lang w:val="es-ES" w:eastAsia="es-ES"/>
        </w:rPr>
        <w:t>”</w:t>
      </w:r>
      <w:r w:rsidR="00260D6C" w:rsidRPr="00F65CCD">
        <w:rPr>
          <w:rFonts w:ascii="Palatino Linotype" w:eastAsia="Calibri" w:hAnsi="Palatino Linotype" w:cs="Times New Roman"/>
          <w:sz w:val="24"/>
          <w:szCs w:val="24"/>
          <w:lang w:val="es-ES" w:eastAsia="es-ES"/>
        </w:rPr>
        <w:t xml:space="preserve"> con </w:t>
      </w:r>
      <w:r w:rsidRPr="00F65CCD">
        <w:rPr>
          <w:rFonts w:ascii="Palatino Linotype" w:eastAsia="Calibri" w:hAnsi="Palatino Linotype" w:cs="Times New Roman"/>
          <w:sz w:val="24"/>
          <w:szCs w:val="24"/>
          <w:lang w:val="es-ES" w:eastAsia="es-ES"/>
        </w:rPr>
        <w:t>el derecho de acceso a la información</w:t>
      </w:r>
      <w:r w:rsidR="006B4F08">
        <w:rPr>
          <w:rFonts w:ascii="Palatino Linotype" w:eastAsia="Calibri" w:hAnsi="Palatino Linotype" w:cs="Times New Roman"/>
          <w:sz w:val="24"/>
          <w:szCs w:val="24"/>
          <w:lang w:val="es-ES" w:eastAsia="es-ES"/>
        </w:rPr>
        <w:t>.</w:t>
      </w:r>
    </w:p>
    <w:p w:rsidR="00176F32" w:rsidRPr="00FE38B3" w:rsidRDefault="00176F32" w:rsidP="00176F32">
      <w:pPr>
        <w:pStyle w:val="Prrafodelista"/>
        <w:autoSpaceDE w:val="0"/>
        <w:autoSpaceDN w:val="0"/>
        <w:adjustRightInd w:val="0"/>
        <w:spacing w:before="240" w:after="0" w:line="240" w:lineRule="auto"/>
        <w:ind w:left="360" w:right="49"/>
        <w:jc w:val="both"/>
        <w:rPr>
          <w:rFonts w:ascii="Palatino Linotype" w:eastAsia="Calibri" w:hAnsi="Palatino Linotype" w:cs="Times New Roman"/>
          <w:sz w:val="16"/>
          <w:szCs w:val="24"/>
          <w:lang w:val="es-ES" w:eastAsia="es-ES"/>
        </w:rPr>
      </w:pPr>
    </w:p>
    <w:p w:rsidR="00302515" w:rsidRPr="00532236" w:rsidRDefault="006B4F08" w:rsidP="00BB775D">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Es así, </w:t>
      </w:r>
      <w:r w:rsidR="00912BF9">
        <w:rPr>
          <w:rFonts w:ascii="Palatino Linotype" w:eastAsia="Calibri" w:hAnsi="Palatino Linotype" w:cs="Times New Roman"/>
          <w:sz w:val="24"/>
          <w:szCs w:val="24"/>
          <w:lang w:val="es-ES" w:eastAsia="es-ES"/>
        </w:rPr>
        <w:t xml:space="preserve">que si bien el </w:t>
      </w:r>
      <w:r w:rsidR="00912BF9" w:rsidRPr="00F65CCD">
        <w:rPr>
          <w:rFonts w:ascii="Palatino Linotype" w:eastAsia="Calibri" w:hAnsi="Palatino Linotype" w:cs="Times New Roman"/>
          <w:b/>
          <w:sz w:val="24"/>
          <w:szCs w:val="24"/>
          <w:lang w:val="es-ES" w:eastAsia="es-ES"/>
        </w:rPr>
        <w:t>SUJETO OBLIGADO</w:t>
      </w:r>
      <w:r w:rsidR="00912BF9">
        <w:rPr>
          <w:rFonts w:ascii="Palatino Linotype" w:eastAsia="Calibri" w:hAnsi="Palatino Linotype" w:cs="Times New Roman"/>
          <w:b/>
          <w:sz w:val="24"/>
          <w:szCs w:val="24"/>
          <w:lang w:val="es-ES" w:eastAsia="es-ES"/>
        </w:rPr>
        <w:t xml:space="preserve"> </w:t>
      </w:r>
      <w:r w:rsidR="00BB775D">
        <w:rPr>
          <w:rFonts w:ascii="Palatino Linotype" w:eastAsia="Calibri" w:hAnsi="Palatino Linotype" w:cs="Times New Roman"/>
          <w:sz w:val="24"/>
          <w:szCs w:val="24"/>
          <w:lang w:val="es-ES" w:eastAsia="es-ES"/>
        </w:rPr>
        <w:t xml:space="preserve">en su respuesta señaló que </w:t>
      </w:r>
      <w:r w:rsidR="008C2656" w:rsidRPr="00BB775D">
        <w:rPr>
          <w:rFonts w:ascii="Palatino Linotype" w:eastAsia="Calibri" w:hAnsi="Palatino Linotype" w:cs="Times New Roman"/>
          <w:sz w:val="24"/>
          <w:szCs w:val="24"/>
          <w:lang w:val="es-ES" w:eastAsia="es-ES"/>
        </w:rPr>
        <w:t>la información no obra en sus archivos en virtud</w:t>
      </w:r>
      <w:r w:rsidR="00BB775D">
        <w:rPr>
          <w:rFonts w:ascii="Palatino Linotype" w:eastAsia="Calibri" w:hAnsi="Palatino Linotype" w:cs="Times New Roman"/>
          <w:sz w:val="24"/>
          <w:szCs w:val="24"/>
          <w:lang w:val="es-ES" w:eastAsia="es-ES"/>
        </w:rPr>
        <w:t xml:space="preserve"> de que dicha </w:t>
      </w:r>
      <w:r w:rsidR="00D93E7C">
        <w:rPr>
          <w:rFonts w:ascii="Palatino Linotype" w:eastAsia="Calibri" w:hAnsi="Palatino Linotype" w:cs="Times New Roman"/>
          <w:sz w:val="24"/>
          <w:szCs w:val="24"/>
          <w:lang w:val="es-ES" w:eastAsia="es-ES"/>
        </w:rPr>
        <w:t>información</w:t>
      </w:r>
      <w:r w:rsidR="00BB775D">
        <w:rPr>
          <w:rFonts w:ascii="Palatino Linotype" w:eastAsia="Calibri" w:hAnsi="Palatino Linotype" w:cs="Times New Roman"/>
          <w:sz w:val="24"/>
          <w:szCs w:val="24"/>
          <w:lang w:val="es-ES" w:eastAsia="es-ES"/>
        </w:rPr>
        <w:t xml:space="preserve"> le comente a un </w:t>
      </w:r>
      <w:r w:rsidR="00BB775D" w:rsidRPr="00BB775D">
        <w:rPr>
          <w:rFonts w:ascii="Palatino Linotype" w:eastAsia="Calibri" w:hAnsi="Palatino Linotype" w:cs="Times New Roman"/>
          <w:sz w:val="24"/>
          <w:szCs w:val="24"/>
          <w:lang w:val="es-ES" w:eastAsia="es-ES"/>
        </w:rPr>
        <w:t xml:space="preserve">Sujeto Obligado </w:t>
      </w:r>
      <w:r w:rsidR="00B67B5B">
        <w:rPr>
          <w:rFonts w:ascii="Palatino Linotype" w:eastAsia="Calibri" w:hAnsi="Palatino Linotype" w:cs="Times New Roman"/>
          <w:sz w:val="24"/>
          <w:szCs w:val="24"/>
          <w:lang w:val="es-ES" w:eastAsia="es-ES"/>
        </w:rPr>
        <w:t xml:space="preserve">diferente siendo este </w:t>
      </w:r>
      <w:r w:rsidR="008C2656" w:rsidRPr="00BB775D">
        <w:rPr>
          <w:rFonts w:ascii="Palatino Linotype" w:eastAsia="Calibri" w:hAnsi="Palatino Linotype" w:cs="Times New Roman"/>
          <w:sz w:val="24"/>
          <w:szCs w:val="24"/>
          <w:lang w:val="es-ES" w:eastAsia="es-ES"/>
        </w:rPr>
        <w:t>el Ayuntamiento de Naucalpan de Juárez</w:t>
      </w:r>
      <w:r w:rsidR="00D93E7C">
        <w:rPr>
          <w:rFonts w:ascii="Palatino Linotype" w:eastAsia="Calibri" w:hAnsi="Palatino Linotype" w:cs="Times New Roman"/>
          <w:sz w:val="24"/>
          <w:szCs w:val="24"/>
          <w:lang w:val="es-ES" w:eastAsia="es-ES"/>
        </w:rPr>
        <w:t>, también lo es que al emitir su Informe Justificado</w:t>
      </w:r>
      <w:r w:rsidR="00C02BDE">
        <w:rPr>
          <w:rFonts w:ascii="Palatino Linotype" w:eastAsia="Calibri" w:hAnsi="Palatino Linotype" w:cs="Times New Roman"/>
          <w:sz w:val="24"/>
          <w:szCs w:val="24"/>
          <w:lang w:val="es-ES" w:eastAsia="es-ES"/>
        </w:rPr>
        <w:t xml:space="preserve"> señaló que derivado de u</w:t>
      </w:r>
      <w:proofErr w:type="spellStart"/>
      <w:r w:rsidR="00C02BDE">
        <w:rPr>
          <w:rFonts w:ascii="Palatino Linotype" w:hAnsi="Palatino Linotype"/>
          <w:sz w:val="24"/>
          <w:szCs w:val="24"/>
        </w:rPr>
        <w:t>na</w:t>
      </w:r>
      <w:proofErr w:type="spellEnd"/>
      <w:r w:rsidR="00C02BDE">
        <w:rPr>
          <w:rFonts w:ascii="Palatino Linotype" w:hAnsi="Palatino Linotype"/>
          <w:sz w:val="24"/>
          <w:szCs w:val="24"/>
        </w:rPr>
        <w:t xml:space="preserve"> búsqueda en los padrones de </w:t>
      </w:r>
      <w:r w:rsidR="00302515">
        <w:rPr>
          <w:rFonts w:ascii="Palatino Linotype" w:hAnsi="Palatino Linotype"/>
          <w:sz w:val="24"/>
          <w:szCs w:val="24"/>
        </w:rPr>
        <w:t>proveedores sin</w:t>
      </w:r>
      <w:r w:rsidR="00C02BDE">
        <w:rPr>
          <w:rFonts w:ascii="Palatino Linotype" w:hAnsi="Palatino Linotype"/>
          <w:sz w:val="24"/>
          <w:szCs w:val="24"/>
        </w:rPr>
        <w:t xml:space="preserve"> haber encontrado información respecto de las personas morales mencionadas en la solicitud primigenia</w:t>
      </w:r>
      <w:r w:rsidR="00302515">
        <w:rPr>
          <w:rFonts w:ascii="Palatino Linotype" w:hAnsi="Palatino Linotype"/>
          <w:sz w:val="24"/>
          <w:szCs w:val="24"/>
        </w:rPr>
        <w:t xml:space="preserve">, por consiguiente atendió el punto 2 de la solicitud. </w:t>
      </w:r>
    </w:p>
    <w:p w:rsidR="00532236" w:rsidRPr="00FE38B3" w:rsidRDefault="00532236" w:rsidP="00532236">
      <w:pPr>
        <w:pStyle w:val="Prrafodelista"/>
        <w:autoSpaceDE w:val="0"/>
        <w:autoSpaceDN w:val="0"/>
        <w:adjustRightInd w:val="0"/>
        <w:spacing w:before="240" w:after="0" w:line="240" w:lineRule="auto"/>
        <w:ind w:left="360" w:right="49"/>
        <w:jc w:val="both"/>
        <w:rPr>
          <w:rFonts w:ascii="Palatino Linotype" w:eastAsia="Calibri" w:hAnsi="Palatino Linotype" w:cs="Times New Roman"/>
          <w:sz w:val="20"/>
          <w:szCs w:val="24"/>
          <w:lang w:val="es-ES" w:eastAsia="es-ES"/>
        </w:rPr>
      </w:pPr>
    </w:p>
    <w:p w:rsidR="009C43B4" w:rsidRPr="00176F32" w:rsidRDefault="00302515" w:rsidP="004305DF">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Pr>
          <w:rFonts w:ascii="Palatino Linotype" w:hAnsi="Palatino Linotype"/>
          <w:sz w:val="24"/>
          <w:szCs w:val="24"/>
        </w:rPr>
        <w:t xml:space="preserve">En ese orden de ideas el </w:t>
      </w:r>
      <w:r w:rsidRPr="00F65CCD">
        <w:rPr>
          <w:rFonts w:ascii="Palatino Linotype" w:eastAsia="Calibri" w:hAnsi="Palatino Linotype" w:cs="Times New Roman"/>
          <w:b/>
          <w:sz w:val="24"/>
          <w:szCs w:val="24"/>
          <w:lang w:val="es-ES" w:eastAsia="es-ES"/>
        </w:rPr>
        <w:t>SUJETO OBLIGADO</w:t>
      </w:r>
      <w:r>
        <w:rPr>
          <w:rFonts w:ascii="Palatino Linotype" w:hAnsi="Palatino Linotype"/>
          <w:sz w:val="24"/>
          <w:szCs w:val="24"/>
        </w:rPr>
        <w:t xml:space="preserve">  al señalar que de la búsqueda en sus padrones no cuenta con la información de las personas morales solicitadas, el asume contar con  el padrón de proveedores por lo cual era dable ordenar dichos padrones y con ello atender el punto 1 de la solicitud de información y con ello dar cabal atención a la solicitud de información</w:t>
      </w:r>
      <w:r w:rsidR="004305DF">
        <w:rPr>
          <w:rFonts w:ascii="Palatino Linotype" w:hAnsi="Palatino Linotype"/>
          <w:sz w:val="24"/>
          <w:szCs w:val="24"/>
        </w:rPr>
        <w:t>; y</w:t>
      </w:r>
      <w:r w:rsidRPr="004305DF">
        <w:rPr>
          <w:rFonts w:ascii="Palatino Linotype" w:hAnsi="Palatino Linotype" w:cs="Arial"/>
          <w:sz w:val="24"/>
          <w:szCs w:val="24"/>
        </w:rPr>
        <w:t xml:space="preserve">a que </w:t>
      </w:r>
      <w:r w:rsidR="0046491C" w:rsidRPr="004305DF">
        <w:rPr>
          <w:rFonts w:ascii="Palatino Linotype" w:hAnsi="Palatino Linotype" w:cs="Arial"/>
          <w:sz w:val="24"/>
          <w:szCs w:val="24"/>
        </w:rPr>
        <w:t xml:space="preserve">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0046491C" w:rsidRPr="004305DF">
        <w:rPr>
          <w:rFonts w:ascii="Palatino Linotype" w:hAnsi="Palatino Linotype" w:cs="Arial"/>
          <w:b/>
          <w:sz w:val="24"/>
          <w:szCs w:val="24"/>
        </w:rPr>
        <w:t>acudir a un profesionista del derecho</w:t>
      </w:r>
      <w:r w:rsidR="0046491C" w:rsidRPr="004305DF">
        <w:rPr>
          <w:rFonts w:ascii="Palatino Linotype" w:hAnsi="Palatino Linotype" w:cs="Arial"/>
          <w:sz w:val="24"/>
          <w:szCs w:val="24"/>
        </w:rPr>
        <w:t xml:space="preserve"> para que le asista en la elaboración de su promoción; contrario a ello, nuestro sistema pretende asistirle </w:t>
      </w:r>
      <w:r w:rsidR="009C43B4" w:rsidRPr="004305DF">
        <w:rPr>
          <w:rFonts w:ascii="Palatino Linotype" w:hAnsi="Palatino Linotype" w:cs="Arial"/>
          <w:sz w:val="24"/>
          <w:szCs w:val="24"/>
        </w:rPr>
        <w:t>y facilitarle el procedimiento.</w:t>
      </w:r>
    </w:p>
    <w:p w:rsidR="00532236" w:rsidRPr="00532236" w:rsidRDefault="00532236" w:rsidP="00532236">
      <w:pPr>
        <w:pStyle w:val="Prrafodelista"/>
        <w:numPr>
          <w:ilvl w:val="0"/>
          <w:numId w:val="1"/>
        </w:numPr>
        <w:autoSpaceDE w:val="0"/>
        <w:autoSpaceDN w:val="0"/>
        <w:adjustRightInd w:val="0"/>
        <w:spacing w:before="240" w:after="0" w:line="360" w:lineRule="auto"/>
        <w:ind w:right="49"/>
        <w:jc w:val="both"/>
        <w:rPr>
          <w:rFonts w:ascii="Palatino Linotype" w:eastAsia="Calibri" w:hAnsi="Palatino Linotype" w:cs="Times New Roman"/>
          <w:sz w:val="24"/>
          <w:szCs w:val="24"/>
          <w:lang w:val="es-ES" w:eastAsia="es-ES"/>
        </w:rPr>
      </w:pPr>
      <w:r>
        <w:rPr>
          <w:noProof/>
          <w:lang w:eastAsia="es-MX"/>
        </w:rPr>
        <w:lastRenderedPageBreak/>
        <w:drawing>
          <wp:anchor distT="0" distB="0" distL="114300" distR="114300" simplePos="0" relativeHeight="251660288" behindDoc="1" locked="0" layoutInCell="1" allowOverlap="1">
            <wp:simplePos x="0" y="0"/>
            <wp:positionH relativeFrom="column">
              <wp:posOffset>127228</wp:posOffset>
            </wp:positionH>
            <wp:positionV relativeFrom="paragraph">
              <wp:posOffset>1530221</wp:posOffset>
            </wp:positionV>
            <wp:extent cx="5608846" cy="3381794"/>
            <wp:effectExtent l="0" t="0" r="0" b="9525"/>
            <wp:wrapTight wrapText="bothSides">
              <wp:wrapPolygon edited="0">
                <wp:start x="0" y="0"/>
                <wp:lineTo x="0" y="21539"/>
                <wp:lineTo x="21497" y="21539"/>
                <wp:lineTo x="2149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454" b="19833"/>
                    <a:stretch/>
                  </pic:blipFill>
                  <pic:spPr bwMode="auto">
                    <a:xfrm>
                      <a:off x="0" y="0"/>
                      <a:ext cx="5608846" cy="338179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Palatino Linotype" w:hAnsi="Palatino Linotype" w:cs="Arial"/>
          <w:sz w:val="24"/>
          <w:szCs w:val="24"/>
        </w:rPr>
        <w:t>Más</w:t>
      </w:r>
      <w:r w:rsidR="00176F32">
        <w:rPr>
          <w:rFonts w:ascii="Palatino Linotype" w:hAnsi="Palatino Linotype" w:cs="Arial"/>
          <w:sz w:val="24"/>
          <w:szCs w:val="24"/>
        </w:rPr>
        <w:t xml:space="preserve"> aun, toda vez que el recurrente en su recurso de revisi</w:t>
      </w:r>
      <w:r w:rsidR="006812BE">
        <w:rPr>
          <w:rFonts w:ascii="Palatino Linotype" w:hAnsi="Palatino Linotype" w:cs="Arial"/>
          <w:sz w:val="24"/>
          <w:szCs w:val="24"/>
        </w:rPr>
        <w:t xml:space="preserve">ón anexó </w:t>
      </w:r>
      <w:r w:rsidR="00FD0E0E">
        <w:rPr>
          <w:rFonts w:ascii="Palatino Linotype" w:hAnsi="Palatino Linotype" w:cs="Arial"/>
          <w:sz w:val="24"/>
          <w:szCs w:val="24"/>
        </w:rPr>
        <w:t xml:space="preserve">la captura de pantalla de la </w:t>
      </w:r>
      <w:r>
        <w:rPr>
          <w:rFonts w:ascii="Palatino Linotype" w:hAnsi="Palatino Linotype" w:cs="Arial"/>
          <w:sz w:val="24"/>
          <w:szCs w:val="24"/>
        </w:rPr>
        <w:t>página</w:t>
      </w:r>
      <w:r w:rsidR="00FD0E0E">
        <w:rPr>
          <w:rFonts w:ascii="Palatino Linotype" w:hAnsi="Palatino Linotype" w:cs="Arial"/>
          <w:sz w:val="24"/>
          <w:szCs w:val="24"/>
        </w:rPr>
        <w:t xml:space="preserve"> de IPOMEX del Sujeto Obligado, por </w:t>
      </w:r>
      <w:r>
        <w:rPr>
          <w:rFonts w:ascii="Palatino Linotype" w:hAnsi="Palatino Linotype" w:cs="Arial"/>
          <w:sz w:val="24"/>
          <w:szCs w:val="24"/>
        </w:rPr>
        <w:t>consiguiente</w:t>
      </w:r>
      <w:r w:rsidR="00FD0E0E">
        <w:rPr>
          <w:rFonts w:ascii="Palatino Linotype" w:hAnsi="Palatino Linotype" w:cs="Arial"/>
          <w:sz w:val="24"/>
          <w:szCs w:val="24"/>
        </w:rPr>
        <w:t xml:space="preserve">, </w:t>
      </w:r>
      <w:r>
        <w:rPr>
          <w:rFonts w:ascii="Palatino Linotype" w:hAnsi="Palatino Linotype" w:cs="Arial"/>
          <w:sz w:val="24"/>
          <w:szCs w:val="24"/>
        </w:rPr>
        <w:t xml:space="preserve">es claro que la información solicitada corresponde al </w:t>
      </w:r>
      <w:r w:rsidRPr="00C435AF">
        <w:rPr>
          <w:rFonts w:ascii="Palatino Linotype" w:eastAsia="Calibri" w:hAnsi="Palatino Linotype" w:cs="Times New Roman"/>
          <w:b/>
          <w:sz w:val="24"/>
          <w:szCs w:val="24"/>
          <w:lang w:eastAsia="es-ES"/>
        </w:rPr>
        <w:t>Sistema Municipal Para el Desarrollo Integral de la Familia de Naucalpan de Juárez</w:t>
      </w:r>
      <w:r>
        <w:rPr>
          <w:rFonts w:ascii="Palatino Linotype" w:eastAsia="Calibri" w:hAnsi="Palatino Linotype" w:cs="Times New Roman"/>
          <w:b/>
          <w:sz w:val="24"/>
          <w:szCs w:val="24"/>
          <w:lang w:eastAsia="es-ES"/>
        </w:rPr>
        <w:t xml:space="preserve">, </w:t>
      </w:r>
      <w:r>
        <w:rPr>
          <w:rFonts w:ascii="Palatino Linotype" w:eastAsia="Calibri" w:hAnsi="Palatino Linotype" w:cs="Times New Roman"/>
          <w:sz w:val="24"/>
          <w:szCs w:val="24"/>
          <w:lang w:eastAsia="es-ES"/>
        </w:rPr>
        <w:t xml:space="preserve">tal y como a continuación se aprecia: </w:t>
      </w:r>
    </w:p>
    <w:p w:rsidR="00546812" w:rsidRPr="00546812" w:rsidRDefault="00532236"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Por consiguiente, e</w:t>
      </w:r>
      <w:r w:rsidR="0046491C" w:rsidRPr="00546812">
        <w:rPr>
          <w:rFonts w:ascii="Palatino Linotype" w:hAnsi="Palatino Linotype" w:cs="Arial"/>
          <w:sz w:val="24"/>
          <w:szCs w:val="24"/>
        </w:rPr>
        <w:t xml:space="preserv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w:t>
      </w:r>
      <w:r w:rsidR="0046491C" w:rsidRPr="00546812">
        <w:rPr>
          <w:rFonts w:ascii="Palatino Linotype" w:hAnsi="Palatino Linotype" w:cs="Arial"/>
          <w:sz w:val="24"/>
          <w:szCs w:val="24"/>
        </w:rPr>
        <w:lastRenderedPageBreak/>
        <w:t>de México y Municipios y del 146 de la Ley General de Transparencia y Acceso a la Información Pública, que contemplan  la figura de la suplencia de la queja.</w:t>
      </w:r>
    </w:p>
    <w:p w:rsidR="00546812" w:rsidRPr="00DF7B12" w:rsidRDefault="00546812" w:rsidP="00DF7B12">
      <w:pPr>
        <w:pStyle w:val="Prrafodelista"/>
        <w:spacing w:before="240" w:after="0" w:line="240" w:lineRule="auto"/>
        <w:ind w:left="360" w:right="49"/>
        <w:jc w:val="both"/>
        <w:rPr>
          <w:rFonts w:ascii="Palatino Linotype" w:hAnsi="Palatino Linotype" w:cs="Arial"/>
          <w:sz w:val="16"/>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La figura de la suplencia de la queja, para Héctor </w:t>
      </w:r>
      <w:proofErr w:type="spellStart"/>
      <w:r w:rsidRPr="00546812">
        <w:rPr>
          <w:rFonts w:ascii="Palatino Linotype" w:hAnsi="Palatino Linotype" w:cs="Arial"/>
          <w:sz w:val="24"/>
          <w:szCs w:val="24"/>
        </w:rPr>
        <w:t>Fix</w:t>
      </w:r>
      <w:proofErr w:type="spellEnd"/>
      <w:r w:rsidRPr="00546812">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46812">
        <w:rPr>
          <w:rStyle w:val="Refdenotaalpie"/>
          <w:rFonts w:ascii="Palatino Linotype" w:hAnsi="Palatino Linotype" w:cs="Arial"/>
          <w:sz w:val="24"/>
          <w:szCs w:val="24"/>
        </w:rPr>
        <w:footnoteReference w:id="2"/>
      </w:r>
      <w:r w:rsidRPr="00546812">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sz w:val="24"/>
          <w:szCs w:val="24"/>
        </w:rPr>
        <w:footnoteReference w:id="3"/>
      </w:r>
      <w:r w:rsidRPr="00546812">
        <w:rPr>
          <w:rFonts w:ascii="Palatino Linotype" w:hAnsi="Palatino Linotype" w:cs="Arial"/>
          <w:sz w:val="24"/>
          <w:szCs w:val="24"/>
        </w:rPr>
        <w:t xml:space="preserve"> </w:t>
      </w:r>
    </w:p>
    <w:p w:rsidR="008D0EE8" w:rsidRPr="00FE38B3" w:rsidRDefault="008D0EE8" w:rsidP="00FE38B3">
      <w:pPr>
        <w:pStyle w:val="Prrafodelista"/>
        <w:spacing w:before="240" w:after="0" w:line="240" w:lineRule="auto"/>
        <w:ind w:left="360" w:right="49"/>
        <w:jc w:val="both"/>
        <w:rPr>
          <w:rFonts w:ascii="Palatino Linotype" w:hAnsi="Palatino Linotype" w:cs="Arial"/>
          <w:sz w:val="1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FE38B3" w:rsidRDefault="00546812" w:rsidP="00FE38B3">
      <w:pPr>
        <w:pStyle w:val="Prrafodelista"/>
        <w:spacing w:line="240" w:lineRule="auto"/>
        <w:rPr>
          <w:rFonts w:ascii="Palatino Linotype" w:hAnsi="Palatino Linotype" w:cs="Arial"/>
          <w:sz w:val="18"/>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w:t>
      </w:r>
      <w:r w:rsidRPr="00546812">
        <w:rPr>
          <w:rFonts w:ascii="Palatino Linotype" w:hAnsi="Palatino Linotype" w:cs="Arial"/>
          <w:sz w:val="24"/>
          <w:szCs w:val="24"/>
        </w:rPr>
        <w:lastRenderedPageBreak/>
        <w:t xml:space="preserve">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sz w:val="24"/>
          <w:szCs w:val="24"/>
        </w:rPr>
        <w:t>garantía de los derechos humanos</w:t>
      </w:r>
      <w:r w:rsidRPr="00546812">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FE38B3" w:rsidRDefault="00546812" w:rsidP="00FE38B3">
      <w:pPr>
        <w:pStyle w:val="Prrafodelista"/>
        <w:spacing w:line="240" w:lineRule="auto"/>
        <w:rPr>
          <w:rFonts w:ascii="Palatino Linotype" w:hAnsi="Palatino Linotype" w:cs="Arial"/>
          <w:sz w:val="14"/>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 este sentido el Dr. Miguel Carbonell ha señalado que:</w:t>
      </w:r>
    </w:p>
    <w:p w:rsidR="0046491C" w:rsidRPr="00A5090D" w:rsidRDefault="0046491C" w:rsidP="00FE38B3">
      <w:pPr>
        <w:spacing w:after="0" w:line="276" w:lineRule="auto"/>
        <w:ind w:left="1134" w:right="618"/>
        <w:jc w:val="both"/>
        <w:rPr>
          <w:rFonts w:ascii="Palatino Linotype" w:hAnsi="Palatino Linotype" w:cs="Arial"/>
          <w:i/>
          <w:sz w:val="24"/>
          <w:szCs w:val="24"/>
        </w:rPr>
      </w:pPr>
      <w:r w:rsidRPr="00A5090D">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A5090D">
        <w:rPr>
          <w:rFonts w:ascii="Palatino Linotype" w:hAnsi="Palatino Linotype" w:cs="Arial"/>
          <w:b/>
          <w:i/>
          <w:sz w:val="24"/>
          <w:szCs w:val="24"/>
        </w:rPr>
        <w:t>considerando que algún nivel de gobierno tenga obligaciones reforzadas hacia ciertos derechos.</w:t>
      </w:r>
      <w:r w:rsidRPr="00A5090D">
        <w:rPr>
          <w:rFonts w:ascii="Palatino Linotype" w:hAnsi="Palatino Linotype" w:cs="Arial"/>
          <w:i/>
          <w:sz w:val="24"/>
          <w:szCs w:val="24"/>
        </w:rPr>
        <w:t xml:space="preserve"> A partir de tales deberes generales, podemos afirmar que las autoridades de todos los niveles de gobierno también tienen la obligación positiva de </w:t>
      </w:r>
      <w:r w:rsidRPr="00A5090D">
        <w:rPr>
          <w:rFonts w:ascii="Palatino Linotype" w:hAnsi="Palatino Linotype" w:cs="Arial"/>
          <w:b/>
          <w:i/>
          <w:sz w:val="24"/>
          <w:szCs w:val="24"/>
        </w:rPr>
        <w:t>tomar todas las medidas que sean pertinentes para tutelar y hacer eficaz un derecho</w:t>
      </w:r>
      <w:r w:rsidRPr="00A5090D">
        <w:rPr>
          <w:rFonts w:ascii="Palatino Linotype" w:hAnsi="Palatino Linotype" w:cs="Arial"/>
          <w:i/>
          <w:sz w:val="24"/>
          <w:szCs w:val="24"/>
        </w:rPr>
        <w:t>”.</w:t>
      </w:r>
      <w:r w:rsidRPr="00A5090D">
        <w:rPr>
          <w:rStyle w:val="Refdenotaalpie"/>
          <w:rFonts w:ascii="Palatino Linotype" w:hAnsi="Palatino Linotype" w:cs="Arial"/>
          <w:i/>
          <w:sz w:val="24"/>
          <w:szCs w:val="24"/>
        </w:rPr>
        <w:footnoteReference w:id="4"/>
      </w:r>
    </w:p>
    <w:p w:rsidR="00300B98" w:rsidRPr="008D0EE8" w:rsidRDefault="00300B98" w:rsidP="008D0EE8">
      <w:pPr>
        <w:pStyle w:val="Prrafodelista"/>
        <w:spacing w:after="0" w:line="240" w:lineRule="auto"/>
        <w:ind w:left="709" w:right="474"/>
        <w:jc w:val="both"/>
        <w:rPr>
          <w:rFonts w:ascii="Palatino Linotype" w:hAnsi="Palatino Linotype" w:cs="Arial"/>
          <w:sz w:val="16"/>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 Por lo que restringir el derecho de acceso a la información pública del particular</w:t>
      </w:r>
      <w:r w:rsidRPr="00546812">
        <w:rPr>
          <w:rFonts w:ascii="Palatino Linotype" w:hAnsi="Palatino Linotype" w:cs="Arial"/>
          <w:b/>
          <w:sz w:val="24"/>
          <w:szCs w:val="24"/>
        </w:rPr>
        <w:t xml:space="preserve"> </w:t>
      </w:r>
      <w:r w:rsidRPr="00546812">
        <w:rPr>
          <w:rFonts w:ascii="Palatino Linotype" w:hAnsi="Palatino Linotype" w:cs="Arial"/>
          <w:sz w:val="24"/>
          <w:szCs w:val="24"/>
        </w:rPr>
        <w:t xml:space="preserve">suponiendo en el peor de los casos, que en efecto, no se hubiera ordenado </w:t>
      </w:r>
      <w:r w:rsidR="0093458D">
        <w:rPr>
          <w:rFonts w:ascii="Palatino Linotype" w:hAnsi="Palatino Linotype" w:cs="Arial"/>
          <w:sz w:val="24"/>
          <w:szCs w:val="24"/>
        </w:rPr>
        <w:t xml:space="preserve">el acuerdo de clasificación </w:t>
      </w:r>
      <w:r w:rsidRPr="00546812">
        <w:rPr>
          <w:rFonts w:ascii="Palatino Linotype" w:hAnsi="Palatino Linotype" w:cs="Arial"/>
          <w:sz w:val="24"/>
          <w:szCs w:val="24"/>
        </w:rPr>
        <w:t>por no impugnar la falta de</w:t>
      </w:r>
      <w:r w:rsidR="00CF544D">
        <w:rPr>
          <w:rFonts w:ascii="Palatino Linotype" w:hAnsi="Palatino Linotype" w:cs="Arial"/>
          <w:sz w:val="24"/>
          <w:szCs w:val="24"/>
        </w:rPr>
        <w:t xml:space="preserve"> atención de un punto en específico solicitado</w:t>
      </w:r>
      <w:r w:rsidRPr="00546812">
        <w:rPr>
          <w:rFonts w:ascii="Palatino Linotype" w:hAnsi="Palatino Linotype" w:cs="Arial"/>
          <w:sz w:val="24"/>
          <w:szCs w:val="24"/>
        </w:rPr>
        <w:t xml:space="preserve">, debilita la efectividad de esta garantía al hacerla depender </w:t>
      </w:r>
      <w:r w:rsidRPr="00546812">
        <w:rPr>
          <w:rFonts w:ascii="Palatino Linotype" w:hAnsi="Palatino Linotype" w:cs="Arial"/>
          <w:sz w:val="24"/>
          <w:szCs w:val="24"/>
        </w:rPr>
        <w:lastRenderedPageBreak/>
        <w:t>de un hecho desconocido y, por lo tanto de dudosa acreditación, además que se insiste fue en todo momento innecesario señalar el argumento de actos consentidos.</w:t>
      </w:r>
    </w:p>
    <w:p w:rsidR="00CD0D8F" w:rsidRPr="00FE38B3" w:rsidRDefault="00CD0D8F" w:rsidP="008D0EE8">
      <w:pPr>
        <w:pStyle w:val="Prrafodelista"/>
        <w:spacing w:before="240" w:after="0" w:line="240" w:lineRule="auto"/>
        <w:ind w:left="360" w:right="49"/>
        <w:jc w:val="both"/>
        <w:rPr>
          <w:rFonts w:ascii="Palatino Linotype" w:hAnsi="Palatino Linotype" w:cs="Arial"/>
          <w:sz w:val="12"/>
          <w:szCs w:val="24"/>
        </w:rPr>
      </w:pPr>
    </w:p>
    <w:p w:rsidR="001455FC" w:rsidRDefault="00177AA7"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Afrontar</w:t>
      </w:r>
      <w:r w:rsidR="0046491C" w:rsidRPr="00546812">
        <w:rPr>
          <w:rFonts w:ascii="Palatino Linotype" w:hAnsi="Palatino Linotype" w:cs="Arial"/>
          <w:sz w:val="24"/>
          <w:szCs w:val="24"/>
        </w:rPr>
        <w:t xml:space="preserve">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Pr>
          <w:rFonts w:ascii="Palatino Linotype" w:hAnsi="Palatino Linotype" w:cs="Arial"/>
          <w:sz w:val="24"/>
          <w:szCs w:val="24"/>
        </w:rPr>
        <w:t>:</w:t>
      </w:r>
    </w:p>
    <w:p w:rsidR="00546812" w:rsidRDefault="0046491C" w:rsidP="00FE38B3">
      <w:pPr>
        <w:spacing w:after="0" w:line="276" w:lineRule="auto"/>
        <w:ind w:left="1134" w:right="618"/>
        <w:jc w:val="both"/>
        <w:rPr>
          <w:rFonts w:ascii="Palatino Linotype" w:hAnsi="Palatino Linotype" w:cs="Arial"/>
          <w:i/>
          <w:sz w:val="24"/>
          <w:szCs w:val="24"/>
        </w:rPr>
      </w:pPr>
      <w:r w:rsidRPr="00A5090D">
        <w:rPr>
          <w:rFonts w:ascii="Palatino Linotype" w:hAnsi="Palatino Linotype" w:cs="Arial"/>
          <w:i/>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546812" w:rsidRPr="00546812" w:rsidRDefault="005F0089"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F</w:t>
      </w:r>
      <w:r w:rsidR="0046491C" w:rsidRPr="00546812">
        <w:rPr>
          <w:rFonts w:ascii="Palatino Linotype" w:hAnsi="Palatino Linotype" w:cs="Arial"/>
          <w:sz w:val="24"/>
          <w:szCs w:val="24"/>
        </w:rPr>
        <w:t xml:space="preserve">rente a esa realidad pasada, la reforma citada nos ubica completamente en nuevas condiciones bajo los criterios del Estado Constitucional de Derecho que nos debe conducir a valorar, junto con Sergio </w:t>
      </w:r>
      <w:proofErr w:type="spellStart"/>
      <w:r w:rsidR="0046491C" w:rsidRPr="00546812">
        <w:rPr>
          <w:rFonts w:ascii="Palatino Linotype" w:hAnsi="Palatino Linotype" w:cs="Arial"/>
          <w:sz w:val="24"/>
          <w:szCs w:val="24"/>
        </w:rPr>
        <w:t>Cotta</w:t>
      </w:r>
      <w:proofErr w:type="spellEnd"/>
      <w:r w:rsidR="0046491C" w:rsidRPr="00546812">
        <w:rPr>
          <w:rFonts w:ascii="Palatino Linotype" w:hAnsi="Palatino Linotype" w:cs="Arial"/>
          <w:sz w:val="24"/>
          <w:szCs w:val="24"/>
        </w:rPr>
        <w:t xml:space="preserve"> que “la obligatoriedad de la norma depende de la validez de su justificación, que es, por consiguiente el </w:t>
      </w:r>
      <w:r w:rsidR="0046491C" w:rsidRPr="00546812">
        <w:rPr>
          <w:rFonts w:ascii="Palatino Linotype" w:hAnsi="Palatino Linotype" w:cs="Arial"/>
          <w:sz w:val="24"/>
          <w:szCs w:val="24"/>
        </w:rPr>
        <w:lastRenderedPageBreak/>
        <w:t>fundamento de aquella”,</w:t>
      </w:r>
      <w:r w:rsidR="0046491C" w:rsidRPr="00546812">
        <w:rPr>
          <w:rStyle w:val="Refdenotaalpie"/>
          <w:rFonts w:ascii="Palatino Linotype" w:hAnsi="Palatino Linotype" w:cs="Arial"/>
          <w:sz w:val="24"/>
          <w:szCs w:val="24"/>
        </w:rPr>
        <w:footnoteReference w:id="5"/>
      </w:r>
      <w:r w:rsidR="0046491C" w:rsidRPr="00546812">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FE38B3" w:rsidRDefault="00546812" w:rsidP="00FE38B3">
      <w:pPr>
        <w:pStyle w:val="Prrafodelista"/>
        <w:spacing w:line="240" w:lineRule="auto"/>
        <w:jc w:val="both"/>
        <w:rPr>
          <w:rFonts w:ascii="Palatino Linotype" w:hAnsi="Palatino Linotype" w:cs="Arial"/>
          <w:sz w:val="10"/>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Respetar;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Proteger;</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Garantizar; y,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Promover los derechos humanos, </w:t>
      </w:r>
    </w:p>
    <w:p w:rsidR="001455FC" w:rsidRPr="00FE38B3" w:rsidRDefault="001455FC" w:rsidP="00FE38B3">
      <w:pPr>
        <w:pStyle w:val="Prrafodelista"/>
        <w:spacing w:line="240" w:lineRule="auto"/>
        <w:rPr>
          <w:rFonts w:ascii="Palatino Linotype" w:hAnsi="Palatino Linotype" w:cs="Arial"/>
          <w:sz w:val="18"/>
          <w:szCs w:val="24"/>
        </w:rPr>
      </w:pPr>
    </w:p>
    <w:p w:rsidR="001455FC" w:rsidRDefault="001455FC"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D</w:t>
      </w:r>
      <w:r w:rsidR="0046491C" w:rsidRPr="00546812">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546812">
        <w:rPr>
          <w:rFonts w:ascii="Palatino Linotype" w:hAnsi="Palatino Linotype" w:cs="Arial"/>
          <w:b/>
          <w:sz w:val="24"/>
          <w:szCs w:val="24"/>
        </w:rPr>
        <w:t>el deber que tienen los órganos del Estado, dentro del margen de sus atribuciones, de prevenir violaciones a los derechos fundamentales,</w:t>
      </w:r>
      <w:r w:rsidR="0046491C" w:rsidRPr="00546812">
        <w:rPr>
          <w:rFonts w:ascii="Palatino Linotype" w:hAnsi="Palatino Linotype" w:cs="Arial"/>
          <w:sz w:val="24"/>
          <w:szCs w:val="24"/>
        </w:rPr>
        <w:t xml:space="preserve"> ya sea que provengan de una autoridad o de algún particular y, </w:t>
      </w:r>
      <w:r w:rsidR="0046491C" w:rsidRPr="00546812">
        <w:rPr>
          <w:rFonts w:ascii="Palatino Linotype" w:hAnsi="Palatino Linotype" w:cs="Arial"/>
          <w:sz w:val="24"/>
          <w:szCs w:val="24"/>
        </w:rPr>
        <w:lastRenderedPageBreak/>
        <w:t xml:space="preserve">por ello, </w:t>
      </w:r>
      <w:r w:rsidR="0046491C" w:rsidRPr="00546812">
        <w:rPr>
          <w:rFonts w:ascii="Palatino Linotype" w:hAnsi="Palatino Linotype" w:cs="Arial"/>
          <w:b/>
          <w:sz w:val="24"/>
          <w:szCs w:val="24"/>
        </w:rPr>
        <w:t>debe contarse</w:t>
      </w:r>
      <w:r w:rsidR="0046491C" w:rsidRPr="00546812">
        <w:rPr>
          <w:rFonts w:ascii="Palatino Linotype" w:hAnsi="Palatino Linotype" w:cs="Arial"/>
          <w:sz w:val="24"/>
          <w:szCs w:val="24"/>
        </w:rPr>
        <w:t xml:space="preserve"> tanto </w:t>
      </w:r>
      <w:r w:rsidR="0046491C" w:rsidRPr="00546812">
        <w:rPr>
          <w:rFonts w:ascii="Palatino Linotype" w:hAnsi="Palatino Linotype" w:cs="Arial"/>
          <w:b/>
          <w:sz w:val="24"/>
          <w:szCs w:val="24"/>
        </w:rPr>
        <w:t>con mecanismos</w:t>
      </w:r>
      <w:r w:rsidR="0046491C" w:rsidRPr="00546812">
        <w:rPr>
          <w:rFonts w:ascii="Palatino Linotype" w:hAnsi="Palatino Linotype" w:cs="Arial"/>
          <w:sz w:val="24"/>
          <w:szCs w:val="24"/>
        </w:rPr>
        <w:t xml:space="preserve"> de vigilancia como </w:t>
      </w:r>
      <w:r w:rsidR="0046491C" w:rsidRPr="00546812">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546812">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5F0089" w:rsidRDefault="005F0089" w:rsidP="005F0089">
      <w:pPr>
        <w:pStyle w:val="Ttulo1"/>
        <w:numPr>
          <w:ilvl w:val="0"/>
          <w:numId w:val="12"/>
        </w:numPr>
        <w:spacing w:line="360" w:lineRule="auto"/>
        <w:rPr>
          <w:rFonts w:ascii="Palatino Linotype" w:hAnsi="Palatino Linotype"/>
          <w:b/>
          <w:color w:val="auto"/>
          <w:sz w:val="24"/>
          <w:szCs w:val="24"/>
        </w:rPr>
      </w:pPr>
      <w:bookmarkStart w:id="4" w:name="_Toc527372984"/>
      <w:r>
        <w:rPr>
          <w:rFonts w:ascii="Palatino Linotype" w:hAnsi="Palatino Linotype"/>
          <w:b/>
          <w:color w:val="auto"/>
          <w:sz w:val="24"/>
          <w:szCs w:val="24"/>
        </w:rPr>
        <w:t>Conclusiones.</w:t>
      </w:r>
      <w:bookmarkEnd w:id="4"/>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546812" w:rsidRDefault="00546812" w:rsidP="00DF7B12">
      <w:pPr>
        <w:pStyle w:val="Prrafodelista"/>
        <w:spacing w:line="240" w:lineRule="auto"/>
        <w:rPr>
          <w:rFonts w:ascii="Palatino Linotype" w:hAnsi="Palatino Linotype" w:cs="Arial"/>
          <w:szCs w:val="24"/>
        </w:rPr>
      </w:pPr>
    </w:p>
    <w:p w:rsidR="0046491C" w:rsidRPr="00072966"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w:t>
      </w:r>
      <w:r w:rsidRPr="00072966">
        <w:rPr>
          <w:rFonts w:ascii="Palatino Linotype" w:hAnsi="Palatino Linotype" w:cs="Arial"/>
          <w:sz w:val="24"/>
          <w:szCs w:val="24"/>
        </w:rPr>
        <w:lastRenderedPageBreak/>
        <w:t>mandato constitucional y pretende otorgar plena certeza a la presunción de que la solicitud ha sido atendida, lo que de no ser así, afecta el derecho humano.</w:t>
      </w:r>
    </w:p>
    <w:p w:rsidR="0046491C" w:rsidRDefault="0046491C" w:rsidP="008D0EE8">
      <w:pPr>
        <w:pStyle w:val="Prrafodelista"/>
        <w:spacing w:after="0" w:line="240" w:lineRule="auto"/>
        <w:ind w:left="426"/>
        <w:jc w:val="both"/>
        <w:rPr>
          <w:rFonts w:ascii="Palatino Linotype" w:hAnsi="Palatino Linotype" w:cs="Arial"/>
          <w:sz w:val="24"/>
          <w:szCs w:val="24"/>
        </w:rPr>
      </w:pPr>
    </w:p>
    <w:p w:rsidR="005F0089" w:rsidRDefault="005F0089" w:rsidP="00A80A1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Así pues, e</w:t>
      </w:r>
      <w:r w:rsidR="0046491C" w:rsidRPr="00072966">
        <w:rPr>
          <w:rFonts w:ascii="Palatino Linotype" w:hAnsi="Palatino Linotype" w:cs="Arial"/>
          <w:sz w:val="24"/>
          <w:szCs w:val="24"/>
        </w:rPr>
        <w:t>ste Órgano Garante debe revisar en forma minuciosa en todos los casos, si se le entregó a los peticionarios todos y cada uno de los puntos que fueron solicitados</w:t>
      </w:r>
      <w:r>
        <w:rPr>
          <w:rFonts w:ascii="Palatino Linotype" w:hAnsi="Palatino Linotype" w:cs="Arial"/>
          <w:sz w:val="24"/>
          <w:szCs w:val="24"/>
        </w:rPr>
        <w:t xml:space="preserve"> a</w:t>
      </w:r>
      <w:r w:rsidR="0046491C" w:rsidRPr="00072966">
        <w:rPr>
          <w:rFonts w:ascii="Palatino Linotype" w:hAnsi="Palatino Linotype" w:cs="Arial"/>
          <w:sz w:val="24"/>
          <w:szCs w:val="24"/>
        </w:rPr>
        <w:t xml:space="preserve"> efecto </w:t>
      </w:r>
      <w:r>
        <w:rPr>
          <w:rFonts w:ascii="Palatino Linotype" w:hAnsi="Palatino Linotype" w:cs="Arial"/>
          <w:sz w:val="24"/>
          <w:szCs w:val="24"/>
        </w:rPr>
        <w:t xml:space="preserve"> de tener por satisfecho </w:t>
      </w:r>
      <w:r w:rsidR="0046491C" w:rsidRPr="00072966">
        <w:rPr>
          <w:rFonts w:ascii="Palatino Linotype" w:hAnsi="Palatino Linotype" w:cs="Arial"/>
          <w:sz w:val="24"/>
          <w:szCs w:val="24"/>
        </w:rPr>
        <w:t>el Derecho de Acceder a la Información Pública</w:t>
      </w:r>
      <w:r>
        <w:rPr>
          <w:rFonts w:ascii="Palatino Linotype" w:hAnsi="Palatino Linotype" w:cs="Arial"/>
          <w:sz w:val="24"/>
          <w:szCs w:val="24"/>
        </w:rPr>
        <w:t xml:space="preserve">. </w:t>
      </w:r>
    </w:p>
    <w:p w:rsidR="005F0089" w:rsidRPr="005F0089" w:rsidRDefault="005F0089" w:rsidP="008D0EE8">
      <w:pPr>
        <w:pStyle w:val="Prrafodelista"/>
        <w:spacing w:line="240" w:lineRule="auto"/>
        <w:rPr>
          <w:rFonts w:ascii="Palatino Linotype" w:hAnsi="Palatino Linotype" w:cs="Arial"/>
          <w:sz w:val="24"/>
          <w:szCs w:val="24"/>
        </w:rPr>
      </w:pPr>
    </w:p>
    <w:p w:rsidR="00DA52E0" w:rsidRPr="00A80A1A" w:rsidRDefault="0046491C" w:rsidP="00A80A1A">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Además de ser un Órgano Garante, somos un Órgano Revisor y en ese sentido no podemos pasar inadvertido el hecho de no analizar la totalidad de requerimientos solicitados </w:t>
      </w:r>
      <w:r w:rsidR="000A42F6">
        <w:rPr>
          <w:rFonts w:ascii="Palatino Linotype" w:hAnsi="Palatino Linotype" w:cs="Arial"/>
          <w:sz w:val="24"/>
          <w:szCs w:val="24"/>
        </w:rPr>
        <w:t xml:space="preserve">tiene como consecuencia que </w:t>
      </w:r>
      <w:r w:rsidRPr="00072966">
        <w:rPr>
          <w:rFonts w:ascii="Palatino Linotype" w:hAnsi="Palatino Linotype" w:cs="Arial"/>
          <w:sz w:val="24"/>
          <w:szCs w:val="24"/>
        </w:rPr>
        <w:t>no estaríamos garantizando el derecho fundamental.</w:t>
      </w:r>
    </w:p>
    <w:p w:rsidR="00DA52E0" w:rsidRPr="006B5B33" w:rsidRDefault="00DA52E0"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A52E0" w:rsidRDefault="00DA52E0" w:rsidP="00DA52E0">
      <w:pPr>
        <w:spacing w:line="360" w:lineRule="auto"/>
        <w:jc w:val="center"/>
        <w:rPr>
          <w:rFonts w:ascii="Palatino Linotype" w:eastAsia="Calibri" w:hAnsi="Palatino Linotype" w:cs="Arial"/>
          <w:b/>
          <w:color w:val="000000" w:themeColor="text1"/>
          <w:sz w:val="24"/>
          <w:szCs w:val="24"/>
        </w:rPr>
      </w:pPr>
    </w:p>
    <w:p w:rsidR="001455FC" w:rsidRDefault="001455FC" w:rsidP="00DA52E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bookmarkStart w:id="5" w:name="_GoBack"/>
      <w:bookmarkEnd w:id="5"/>
    </w:p>
    <w:sectPr w:rsidR="00DA52E0" w:rsidRPr="00A640C7" w:rsidSect="00DA55B8">
      <w:headerReference w:type="even" r:id="rId11"/>
      <w:headerReference w:type="default" r:id="rId12"/>
      <w:footerReference w:type="default" r:id="rId13"/>
      <w:head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EB2" w:rsidRDefault="00E34EB2" w:rsidP="00E706DA">
      <w:pPr>
        <w:spacing w:after="0" w:line="240" w:lineRule="auto"/>
      </w:pPr>
      <w:r>
        <w:separator/>
      </w:r>
    </w:p>
  </w:endnote>
  <w:endnote w:type="continuationSeparator" w:id="0">
    <w:p w:rsidR="00E34EB2" w:rsidRDefault="00E34EB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8150A8">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8150A8">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8150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EB2" w:rsidRDefault="00E34EB2" w:rsidP="00E706DA">
      <w:pPr>
        <w:spacing w:after="0" w:line="240" w:lineRule="auto"/>
      </w:pPr>
      <w:r>
        <w:separator/>
      </w:r>
    </w:p>
  </w:footnote>
  <w:footnote w:type="continuationSeparator" w:id="0">
    <w:p w:rsidR="00E34EB2" w:rsidRDefault="00E34EB2" w:rsidP="00E706DA">
      <w:pPr>
        <w:spacing w:after="0" w:line="240" w:lineRule="auto"/>
      </w:pPr>
      <w:r>
        <w:continuationSeparator/>
      </w:r>
    </w:p>
  </w:footnote>
  <w:footnote w:id="1">
    <w:p w:rsidR="000A42F6" w:rsidRDefault="000A42F6" w:rsidP="000A42F6">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2">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3">
    <w:p w:rsidR="0046491C" w:rsidRDefault="0046491C" w:rsidP="0046491C">
      <w:pPr>
        <w:pStyle w:val="Textonotapie"/>
      </w:pPr>
      <w:r>
        <w:rPr>
          <w:rStyle w:val="Refdenotaalpie"/>
        </w:rPr>
        <w:footnoteRef/>
      </w:r>
      <w:r>
        <w:t xml:space="preserve"> </w:t>
      </w:r>
      <w:r w:rsidRPr="00C775C0">
        <w:rPr>
          <w:i/>
        </w:rPr>
        <w:t>Ibídem</w:t>
      </w:r>
      <w:r>
        <w:t>. Pág. 3594.</w:t>
      </w:r>
    </w:p>
  </w:footnote>
  <w:footnote w:id="4">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5">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50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50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150A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150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5785272"/>
    <w:multiLevelType w:val="hybridMultilevel"/>
    <w:tmpl w:val="357C1D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8680F"/>
    <w:multiLevelType w:val="hybridMultilevel"/>
    <w:tmpl w:val="8E62DC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
  </w:num>
  <w:num w:numId="3">
    <w:abstractNumId w:val="12"/>
  </w:num>
  <w:num w:numId="4">
    <w:abstractNumId w:val="16"/>
  </w:num>
  <w:num w:numId="5">
    <w:abstractNumId w:val="20"/>
  </w:num>
  <w:num w:numId="6">
    <w:abstractNumId w:val="22"/>
  </w:num>
  <w:num w:numId="7">
    <w:abstractNumId w:val="28"/>
  </w:num>
  <w:num w:numId="8">
    <w:abstractNumId w:val="27"/>
  </w:num>
  <w:num w:numId="9">
    <w:abstractNumId w:val="31"/>
  </w:num>
  <w:num w:numId="10">
    <w:abstractNumId w:val="3"/>
  </w:num>
  <w:num w:numId="11">
    <w:abstractNumId w:val="30"/>
  </w:num>
  <w:num w:numId="12">
    <w:abstractNumId w:val="14"/>
  </w:num>
  <w:num w:numId="13">
    <w:abstractNumId w:val="5"/>
  </w:num>
  <w:num w:numId="14">
    <w:abstractNumId w:val="11"/>
  </w:num>
  <w:num w:numId="15">
    <w:abstractNumId w:val="23"/>
  </w:num>
  <w:num w:numId="16">
    <w:abstractNumId w:val="0"/>
  </w:num>
  <w:num w:numId="17">
    <w:abstractNumId w:val="4"/>
  </w:num>
  <w:num w:numId="18">
    <w:abstractNumId w:val="33"/>
  </w:num>
  <w:num w:numId="19">
    <w:abstractNumId w:val="8"/>
  </w:num>
  <w:num w:numId="20">
    <w:abstractNumId w:val="26"/>
  </w:num>
  <w:num w:numId="21">
    <w:abstractNumId w:val="19"/>
  </w:num>
  <w:num w:numId="22">
    <w:abstractNumId w:val="18"/>
  </w:num>
  <w:num w:numId="23">
    <w:abstractNumId w:val="7"/>
  </w:num>
  <w:num w:numId="24">
    <w:abstractNumId w:val="17"/>
  </w:num>
  <w:num w:numId="25">
    <w:abstractNumId w:val="29"/>
  </w:num>
  <w:num w:numId="26">
    <w:abstractNumId w:val="24"/>
  </w:num>
  <w:num w:numId="27">
    <w:abstractNumId w:val="1"/>
  </w:num>
  <w:num w:numId="28">
    <w:abstractNumId w:val="32"/>
  </w:num>
  <w:num w:numId="29">
    <w:abstractNumId w:val="15"/>
  </w:num>
  <w:num w:numId="30">
    <w:abstractNumId w:val="25"/>
  </w:num>
  <w:num w:numId="31">
    <w:abstractNumId w:val="9"/>
  </w:num>
  <w:num w:numId="32">
    <w:abstractNumId w:val="6"/>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6605E"/>
    <w:rsid w:val="00072966"/>
    <w:rsid w:val="00073F0D"/>
    <w:rsid w:val="000769CD"/>
    <w:rsid w:val="000810AB"/>
    <w:rsid w:val="000951B4"/>
    <w:rsid w:val="000A3369"/>
    <w:rsid w:val="000A42F6"/>
    <w:rsid w:val="000A77B5"/>
    <w:rsid w:val="000A7B66"/>
    <w:rsid w:val="000B2003"/>
    <w:rsid w:val="000B7C6E"/>
    <w:rsid w:val="000D7900"/>
    <w:rsid w:val="000E6CC2"/>
    <w:rsid w:val="000F6CBB"/>
    <w:rsid w:val="00122625"/>
    <w:rsid w:val="00143343"/>
    <w:rsid w:val="001455FC"/>
    <w:rsid w:val="0015651D"/>
    <w:rsid w:val="00164F1E"/>
    <w:rsid w:val="00176F32"/>
    <w:rsid w:val="00177AA7"/>
    <w:rsid w:val="001923C0"/>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F000B"/>
    <w:rsid w:val="00300B98"/>
    <w:rsid w:val="00302515"/>
    <w:rsid w:val="00346DBD"/>
    <w:rsid w:val="00367E00"/>
    <w:rsid w:val="003705BB"/>
    <w:rsid w:val="003747A5"/>
    <w:rsid w:val="003A230F"/>
    <w:rsid w:val="003C7100"/>
    <w:rsid w:val="003C7244"/>
    <w:rsid w:val="003C7A8B"/>
    <w:rsid w:val="003D7B9E"/>
    <w:rsid w:val="0040354A"/>
    <w:rsid w:val="00412952"/>
    <w:rsid w:val="00421A38"/>
    <w:rsid w:val="0042345D"/>
    <w:rsid w:val="00424DE3"/>
    <w:rsid w:val="004305DF"/>
    <w:rsid w:val="00444048"/>
    <w:rsid w:val="0046491C"/>
    <w:rsid w:val="004802BA"/>
    <w:rsid w:val="0048490F"/>
    <w:rsid w:val="0049058E"/>
    <w:rsid w:val="004E6DFF"/>
    <w:rsid w:val="005139E7"/>
    <w:rsid w:val="00532236"/>
    <w:rsid w:val="00532410"/>
    <w:rsid w:val="00544EC2"/>
    <w:rsid w:val="00546812"/>
    <w:rsid w:val="005527D5"/>
    <w:rsid w:val="00567EC1"/>
    <w:rsid w:val="0057400C"/>
    <w:rsid w:val="00575478"/>
    <w:rsid w:val="0058139C"/>
    <w:rsid w:val="00587A4C"/>
    <w:rsid w:val="005A15E9"/>
    <w:rsid w:val="005A3267"/>
    <w:rsid w:val="005D79D3"/>
    <w:rsid w:val="005F0089"/>
    <w:rsid w:val="005F54C5"/>
    <w:rsid w:val="00616B05"/>
    <w:rsid w:val="006239A7"/>
    <w:rsid w:val="00634736"/>
    <w:rsid w:val="006728FD"/>
    <w:rsid w:val="006812BE"/>
    <w:rsid w:val="0069498B"/>
    <w:rsid w:val="006B4F08"/>
    <w:rsid w:val="006D268B"/>
    <w:rsid w:val="006F6CA9"/>
    <w:rsid w:val="0070685A"/>
    <w:rsid w:val="00717C0D"/>
    <w:rsid w:val="0072058F"/>
    <w:rsid w:val="0072136B"/>
    <w:rsid w:val="007343BB"/>
    <w:rsid w:val="00746812"/>
    <w:rsid w:val="007525B0"/>
    <w:rsid w:val="0076241F"/>
    <w:rsid w:val="00770016"/>
    <w:rsid w:val="007879C6"/>
    <w:rsid w:val="00790E37"/>
    <w:rsid w:val="007A378A"/>
    <w:rsid w:val="007A7FAD"/>
    <w:rsid w:val="007E3EA9"/>
    <w:rsid w:val="00802C07"/>
    <w:rsid w:val="00814A43"/>
    <w:rsid w:val="00814E97"/>
    <w:rsid w:val="008150A8"/>
    <w:rsid w:val="008232E5"/>
    <w:rsid w:val="008361CA"/>
    <w:rsid w:val="008370F1"/>
    <w:rsid w:val="00850252"/>
    <w:rsid w:val="00856FA1"/>
    <w:rsid w:val="00863DA9"/>
    <w:rsid w:val="00864C68"/>
    <w:rsid w:val="00872522"/>
    <w:rsid w:val="008822B3"/>
    <w:rsid w:val="008911CF"/>
    <w:rsid w:val="008920A8"/>
    <w:rsid w:val="008A3D2D"/>
    <w:rsid w:val="008B03B6"/>
    <w:rsid w:val="008C2656"/>
    <w:rsid w:val="008D0EE8"/>
    <w:rsid w:val="008D57F6"/>
    <w:rsid w:val="008E1DCC"/>
    <w:rsid w:val="008F3E81"/>
    <w:rsid w:val="00900E75"/>
    <w:rsid w:val="00902248"/>
    <w:rsid w:val="00903F19"/>
    <w:rsid w:val="00912BF9"/>
    <w:rsid w:val="009156AC"/>
    <w:rsid w:val="00920CC4"/>
    <w:rsid w:val="0093177C"/>
    <w:rsid w:val="00933200"/>
    <w:rsid w:val="0093458D"/>
    <w:rsid w:val="00937D7D"/>
    <w:rsid w:val="0094239C"/>
    <w:rsid w:val="0095525C"/>
    <w:rsid w:val="00972931"/>
    <w:rsid w:val="0097582C"/>
    <w:rsid w:val="00987663"/>
    <w:rsid w:val="009C43B4"/>
    <w:rsid w:val="009C4EF6"/>
    <w:rsid w:val="00A07EF4"/>
    <w:rsid w:val="00A26E97"/>
    <w:rsid w:val="00A31633"/>
    <w:rsid w:val="00A5090D"/>
    <w:rsid w:val="00A54D9D"/>
    <w:rsid w:val="00A626F8"/>
    <w:rsid w:val="00A63717"/>
    <w:rsid w:val="00A80A1A"/>
    <w:rsid w:val="00AA49F3"/>
    <w:rsid w:val="00AB023D"/>
    <w:rsid w:val="00AB126B"/>
    <w:rsid w:val="00AC381E"/>
    <w:rsid w:val="00AC430A"/>
    <w:rsid w:val="00AD16A9"/>
    <w:rsid w:val="00AE4797"/>
    <w:rsid w:val="00B120CA"/>
    <w:rsid w:val="00B41223"/>
    <w:rsid w:val="00B56CFE"/>
    <w:rsid w:val="00B67B5B"/>
    <w:rsid w:val="00BA3743"/>
    <w:rsid w:val="00BB22FB"/>
    <w:rsid w:val="00BB3ADD"/>
    <w:rsid w:val="00BB3BD8"/>
    <w:rsid w:val="00BB5E12"/>
    <w:rsid w:val="00BB775D"/>
    <w:rsid w:val="00BC7B0C"/>
    <w:rsid w:val="00BE555F"/>
    <w:rsid w:val="00BF3534"/>
    <w:rsid w:val="00BF43E0"/>
    <w:rsid w:val="00C02BDE"/>
    <w:rsid w:val="00C33F49"/>
    <w:rsid w:val="00C371B0"/>
    <w:rsid w:val="00C40065"/>
    <w:rsid w:val="00C435AF"/>
    <w:rsid w:val="00C44341"/>
    <w:rsid w:val="00C53AE3"/>
    <w:rsid w:val="00C7250F"/>
    <w:rsid w:val="00C74552"/>
    <w:rsid w:val="00CB347F"/>
    <w:rsid w:val="00CD0D8F"/>
    <w:rsid w:val="00CE0823"/>
    <w:rsid w:val="00CF544D"/>
    <w:rsid w:val="00D26D87"/>
    <w:rsid w:val="00D33AF9"/>
    <w:rsid w:val="00D363F7"/>
    <w:rsid w:val="00D42526"/>
    <w:rsid w:val="00D447F1"/>
    <w:rsid w:val="00D47536"/>
    <w:rsid w:val="00D72985"/>
    <w:rsid w:val="00D7456D"/>
    <w:rsid w:val="00D7508B"/>
    <w:rsid w:val="00D849F2"/>
    <w:rsid w:val="00D93E7C"/>
    <w:rsid w:val="00DA52E0"/>
    <w:rsid w:val="00DC63EE"/>
    <w:rsid w:val="00DD7C56"/>
    <w:rsid w:val="00DE24C8"/>
    <w:rsid w:val="00DF6665"/>
    <w:rsid w:val="00DF6F7E"/>
    <w:rsid w:val="00DF7B12"/>
    <w:rsid w:val="00E26799"/>
    <w:rsid w:val="00E34AAC"/>
    <w:rsid w:val="00E34EB2"/>
    <w:rsid w:val="00E34F08"/>
    <w:rsid w:val="00E41EA1"/>
    <w:rsid w:val="00E61AB8"/>
    <w:rsid w:val="00E706DA"/>
    <w:rsid w:val="00E75DEF"/>
    <w:rsid w:val="00E83E93"/>
    <w:rsid w:val="00E90EB5"/>
    <w:rsid w:val="00E91F07"/>
    <w:rsid w:val="00E94FBF"/>
    <w:rsid w:val="00EA711B"/>
    <w:rsid w:val="00EC772B"/>
    <w:rsid w:val="00EE4ADC"/>
    <w:rsid w:val="00EF0C2D"/>
    <w:rsid w:val="00EF6D60"/>
    <w:rsid w:val="00F45161"/>
    <w:rsid w:val="00F46E78"/>
    <w:rsid w:val="00F5642A"/>
    <w:rsid w:val="00F65CCD"/>
    <w:rsid w:val="00F841A1"/>
    <w:rsid w:val="00F857BC"/>
    <w:rsid w:val="00F86F9B"/>
    <w:rsid w:val="00FA59F5"/>
    <w:rsid w:val="00FC228B"/>
    <w:rsid w:val="00FC2309"/>
    <w:rsid w:val="00FD0E0E"/>
    <w:rsid w:val="00FD4693"/>
    <w:rsid w:val="00FE38B3"/>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9E3C5-0D7B-4996-B24D-721B9025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3678</Words>
  <Characters>20234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2017-05-22T19:49:00Z</cp:lastPrinted>
  <dcterms:created xsi:type="dcterms:W3CDTF">2018-10-16T00:41:00Z</dcterms:created>
  <dcterms:modified xsi:type="dcterms:W3CDTF">2018-12-14T19:30:00Z</dcterms:modified>
</cp:coreProperties>
</file>